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FA3D2DE" w:rsidR="00E66558" w:rsidRDefault="00CC6303" w:rsidP="00CC6303">
      <w:pPr>
        <w:pStyle w:val="Heading1"/>
        <w:ind w:firstLine="720"/>
        <w:jc w:val="center"/>
      </w:pPr>
      <w:bookmarkStart w:id="0" w:name="_Toc400361362"/>
      <w:bookmarkStart w:id="1" w:name="_Toc443397153"/>
      <w:bookmarkStart w:id="2" w:name="_Toc357771638"/>
      <w:bookmarkStart w:id="3" w:name="_Toc346793416"/>
      <w:bookmarkStart w:id="4" w:name="_Toc328122777"/>
      <w:r w:rsidRPr="00CC6303">
        <w:rPr>
          <w:rFonts w:eastAsia="Calibri" w:cs="Arial"/>
          <w:b w:val="0"/>
          <w:noProof/>
          <w:color w:val="1F4E79"/>
          <w:sz w:val="28"/>
          <w:szCs w:val="22"/>
        </w:rPr>
        <w:drawing>
          <wp:anchor distT="0" distB="0" distL="114300" distR="114300" simplePos="0" relativeHeight="251659264" behindDoc="0" locked="0" layoutInCell="1" allowOverlap="1" wp14:anchorId="1ADD463F" wp14:editId="000E2F28">
            <wp:simplePos x="0" y="0"/>
            <wp:positionH relativeFrom="margin">
              <wp:posOffset>-533400</wp:posOffset>
            </wp:positionH>
            <wp:positionV relativeFrom="paragraph">
              <wp:posOffset>-591185</wp:posOffset>
            </wp:positionV>
            <wp:extent cx="1206724" cy="1092119"/>
            <wp:effectExtent l="0" t="0" r="0" b="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724" cy="109211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Thames View Junior </w:t>
      </w:r>
      <w:r w:rsidR="009D71E8">
        <w:t xml:space="preserve">Pupil premium strategy </w:t>
      </w:r>
      <w:r>
        <w:t>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C1E04F8" w14:textId="01906E91" w:rsidR="00F27E26" w:rsidRDefault="00CC6303">
      <w:pPr>
        <w:pStyle w:val="Heading2"/>
        <w:rPr>
          <w:b w:val="0"/>
          <w:bCs/>
          <w:color w:val="auto"/>
          <w:sz w:val="24"/>
          <w:szCs w:val="24"/>
        </w:rPr>
      </w:pPr>
      <w:r>
        <w:rPr>
          <w:b w:val="0"/>
          <w:bCs/>
          <w:color w:val="auto"/>
          <w:sz w:val="24"/>
          <w:szCs w:val="24"/>
        </w:rPr>
        <w:tab/>
      </w:r>
      <w:r>
        <w:rPr>
          <w:b w:val="0"/>
          <w:bCs/>
          <w:color w:val="auto"/>
          <w:sz w:val="24"/>
          <w:szCs w:val="24"/>
        </w:rPr>
        <w:tab/>
      </w:r>
      <w:r>
        <w:rPr>
          <w:b w:val="0"/>
          <w:bCs/>
          <w:color w:val="auto"/>
          <w:sz w:val="24"/>
          <w:szCs w:val="24"/>
        </w:rPr>
        <w:tab/>
      </w:r>
      <w:r>
        <w:rPr>
          <w:b w:val="0"/>
          <w:bCs/>
          <w:color w:val="auto"/>
          <w:sz w:val="24"/>
          <w:szCs w:val="24"/>
        </w:rPr>
        <w:tab/>
      </w:r>
      <w:r>
        <w:rPr>
          <w:b w:val="0"/>
          <w:bCs/>
          <w:color w:val="auto"/>
          <w:sz w:val="24"/>
          <w:szCs w:val="24"/>
        </w:rPr>
        <w:tab/>
      </w:r>
    </w:p>
    <w:p w14:paraId="2A7D54B2" w14:textId="09E5B359"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E2AE" w14:textId="77777777" w:rsidR="00E66558" w:rsidRDefault="004F4A22">
            <w:pPr>
              <w:pStyle w:val="TableRow"/>
            </w:pPr>
            <w:r>
              <w:t>Thames View</w:t>
            </w:r>
            <w:r w:rsidR="00390771">
              <w:t xml:space="preserve"> Junior</w:t>
            </w:r>
          </w:p>
          <w:p w14:paraId="2A7D54B9" w14:textId="7430F1CC" w:rsidR="00390771" w:rsidRDefault="00390771">
            <w:pPr>
              <w:pStyle w:val="TableRow"/>
            </w:pPr>
            <w:r>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41078E" w:rsidR="00E66558" w:rsidRDefault="009C6C85">
            <w:pPr>
              <w:pStyle w:val="TableRow"/>
            </w:pPr>
            <w:r>
              <w:t>327 (as of 1</w:t>
            </w:r>
            <w:r w:rsidRPr="009C6C85">
              <w:rPr>
                <w:vertAlign w:val="superscript"/>
              </w:rPr>
              <w:t>st</w:t>
            </w:r>
            <w:r>
              <w:t xml:space="preserve"> Dec 2021</w:t>
            </w:r>
            <w:r w:rsidR="00390771">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465C" w14:textId="3D6DCF3E" w:rsidR="00E66558" w:rsidRDefault="009C6C85" w:rsidP="009C6C85">
            <w:pPr>
              <w:pStyle w:val="TableRow"/>
              <w:ind w:left="0"/>
            </w:pPr>
            <w:r>
              <w:t xml:space="preserve"> 156 </w:t>
            </w:r>
            <w:proofErr w:type="spellStart"/>
            <w:r>
              <w:t>chn</w:t>
            </w:r>
            <w:proofErr w:type="spellEnd"/>
            <w:r>
              <w:t xml:space="preserve"> are PP</w:t>
            </w:r>
          </w:p>
          <w:p w14:paraId="2A7D54BF" w14:textId="3A4B529B" w:rsidR="00390771" w:rsidRDefault="009C6C85">
            <w:pPr>
              <w:pStyle w:val="TableRow"/>
            </w:pPr>
            <w:r>
              <w:t>48</w:t>
            </w:r>
            <w:r w:rsidR="00390771">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53C91D" w:rsidR="00E66558" w:rsidRDefault="009D71E8" w:rsidP="00FF68F3">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235A" w14:textId="77777777" w:rsidR="005B3321" w:rsidRDefault="005B3321" w:rsidP="005B3321">
            <w:pPr>
              <w:pStyle w:val="TableRow"/>
            </w:pPr>
            <w:r>
              <w:t>2021-2022</w:t>
            </w:r>
          </w:p>
          <w:p w14:paraId="263BE2E7" w14:textId="77777777" w:rsidR="005B3321" w:rsidRDefault="005B3321" w:rsidP="005B3321">
            <w:pPr>
              <w:pStyle w:val="TableRow"/>
            </w:pPr>
            <w:r>
              <w:t>2022-2023</w:t>
            </w:r>
          </w:p>
          <w:p w14:paraId="2A7D54C2" w14:textId="627C7C07" w:rsidR="00E66558" w:rsidRDefault="005B3321" w:rsidP="005B3321">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DABB80" w:rsidR="00E66558" w:rsidRDefault="00FF68F3">
            <w:pPr>
              <w:pStyle w:val="TableRow"/>
            </w:pPr>
            <w:r>
              <w:t xml:space="preserve">December </w:t>
            </w:r>
            <w:r w:rsidR="005B3321">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B2E47C" w:rsidR="00E66558" w:rsidRDefault="00FF68F3">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378ACBB" w:rsidR="00E66558" w:rsidRDefault="005B3321">
            <w:pPr>
              <w:pStyle w:val="TableRow"/>
            </w:pPr>
            <w:proofErr w:type="spellStart"/>
            <w:r>
              <w:t>S.Sanghera</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77F7B9" w:rsidR="00E66558" w:rsidRDefault="00FF68F3">
            <w:pPr>
              <w:pStyle w:val="TableRow"/>
            </w:pPr>
            <w:r>
              <w:t xml:space="preserve">Gillian </w:t>
            </w:r>
            <w:proofErr w:type="spellStart"/>
            <w:r>
              <w:t>Bratley</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BB09351" w:rsidR="00E66558" w:rsidRDefault="009D71E8">
            <w:pPr>
              <w:pStyle w:val="TableRow"/>
            </w:pPr>
            <w:r>
              <w:t>£</w:t>
            </w:r>
            <w:r w:rsidR="00FF68F3">
              <w:t>209,820</w:t>
            </w:r>
          </w:p>
        </w:tc>
      </w:tr>
      <w:tr w:rsidR="00E66558" w14:paraId="2A7D54DC" w14:textId="77777777" w:rsidTr="00390771">
        <w:trPr>
          <w:trHeight w:val="627"/>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390771">
            <w:pPr>
              <w:pStyle w:val="TableRow"/>
              <w:ind w:left="0"/>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F0DD" w14:textId="77777777" w:rsidR="00E66558" w:rsidRDefault="009D71E8">
            <w:pPr>
              <w:pStyle w:val="TableRow"/>
            </w:pPr>
            <w:r>
              <w:t>£</w:t>
            </w:r>
            <w:r w:rsidR="00390771">
              <w:t xml:space="preserve"> 25,085.00</w:t>
            </w:r>
          </w:p>
          <w:p w14:paraId="2A7D54DB" w14:textId="4C522C5B" w:rsidR="00390771" w:rsidRDefault="00390771" w:rsidP="00390771">
            <w:pPr>
              <w:pStyle w:val="TableRow"/>
              <w:ind w:left="0"/>
            </w:pPr>
          </w:p>
        </w:tc>
      </w:tr>
      <w:tr w:rsidR="00390771" w14:paraId="2B579C2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EEB5" w14:textId="2D661552" w:rsidR="00390771" w:rsidRDefault="00390771">
            <w:pPr>
              <w:pStyle w:val="TableRow"/>
            </w:pPr>
            <w:r>
              <w:t xml:space="preserve">School Led Tuition funding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8B3E" w14:textId="32A24B76" w:rsidR="00390771" w:rsidRDefault="00390771">
            <w:pPr>
              <w:pStyle w:val="TableRow"/>
            </w:pPr>
            <w:r>
              <w:t>£21,060.00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3B58FF3" w:rsidR="00E66558" w:rsidRDefault="009D71E8">
            <w:pPr>
              <w:pStyle w:val="TableRow"/>
            </w:pPr>
            <w:r>
              <w:t>£</w:t>
            </w:r>
            <w:r w:rsidR="005B332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lastRenderedPageBreak/>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DAB9A" w:rsidR="00E66558" w:rsidRDefault="009D71E8">
            <w:pPr>
              <w:pStyle w:val="TableRow"/>
            </w:pPr>
            <w:r>
              <w:t>£</w:t>
            </w:r>
            <w:r w:rsidR="00FF68F3">
              <w:t>255,965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E64D" w14:textId="263BF063" w:rsidR="00C54501" w:rsidRDefault="00C54501" w:rsidP="00C54501">
            <w:pPr>
              <w:jc w:val="both"/>
              <w:rPr>
                <w:iCs/>
              </w:rPr>
            </w:pPr>
            <w:r>
              <w:rPr>
                <w:iCs/>
              </w:rPr>
              <w:t>At Thames View juniors</w:t>
            </w:r>
            <w:r w:rsidRPr="00C54501">
              <w:rPr>
                <w:iCs/>
              </w:rPr>
              <w:t xml:space="preserve"> we are an inclusive school and our motto is ‘Striving for Excellence’</w:t>
            </w:r>
            <w:r>
              <w:rPr>
                <w:iCs/>
              </w:rPr>
              <w:t>.</w:t>
            </w:r>
            <w:r w:rsidRPr="00C54501">
              <w:rPr>
                <w:iCs/>
              </w:rPr>
              <w:t xml:space="preserve"> At the heart of everything we do is to ma</w:t>
            </w:r>
            <w:r>
              <w:rPr>
                <w:iCs/>
              </w:rPr>
              <w:t xml:space="preserve">ke a difference to </w:t>
            </w:r>
            <w:r w:rsidR="00F27E26">
              <w:rPr>
                <w:iCs/>
              </w:rPr>
              <w:t xml:space="preserve">the lives of </w:t>
            </w:r>
            <w:r>
              <w:rPr>
                <w:iCs/>
              </w:rPr>
              <w:t>our children</w:t>
            </w:r>
            <w:r w:rsidR="00F27E26">
              <w:rPr>
                <w:iCs/>
              </w:rPr>
              <w:t xml:space="preserve">. </w:t>
            </w:r>
            <w:r>
              <w:rPr>
                <w:iCs/>
              </w:rPr>
              <w:t>Our</w:t>
            </w:r>
            <w:r w:rsidRPr="00C54501">
              <w:rPr>
                <w:iCs/>
              </w:rPr>
              <w:t xml:space="preserve"> intention is to provide an inspiring</w:t>
            </w:r>
            <w:r>
              <w:rPr>
                <w:iCs/>
              </w:rPr>
              <w:t>, engaging</w:t>
            </w:r>
            <w:r w:rsidRPr="00C54501">
              <w:rPr>
                <w:iCs/>
              </w:rPr>
              <w:t xml:space="preserve"> and inclusive te</w:t>
            </w:r>
            <w:r>
              <w:rPr>
                <w:iCs/>
              </w:rPr>
              <w:t>aching and learning experience.</w:t>
            </w:r>
          </w:p>
          <w:p w14:paraId="59FC9094" w14:textId="3DF51E9F" w:rsidR="00C54501" w:rsidRPr="00C54501" w:rsidRDefault="00C54501" w:rsidP="00C54501">
            <w:pPr>
              <w:jc w:val="both"/>
              <w:rPr>
                <w:iCs/>
              </w:rPr>
            </w:pPr>
            <w:r w:rsidRPr="00C54501">
              <w:rPr>
                <w:iCs/>
              </w:rPr>
              <w:t xml:space="preserve"> We believe that ‘Striving for Excellence’ can only be achieved by having the highest expectations of all our learners. Our ultimate objective is that no child is left behind socially, or academically because of disadvantage. We ensure that appropriate provision is made for pupils who belong to vulnerable groups, including ensuring the needs of socially disadvantaged pupils are adequately assessed and addressed.</w:t>
            </w:r>
          </w:p>
          <w:p w14:paraId="2A7D54E9" w14:textId="41F85AE2" w:rsidR="00E66558" w:rsidRPr="00C54501" w:rsidRDefault="00C54501" w:rsidP="00C54501">
            <w:pPr>
              <w:jc w:val="both"/>
              <w:rPr>
                <w:i/>
                <w:iCs/>
              </w:rPr>
            </w:pPr>
            <w:r w:rsidRPr="00C54501">
              <w:rPr>
                <w:iCs/>
              </w:rPr>
              <w:t>The percentage of pupils eligible f</w:t>
            </w:r>
            <w:r>
              <w:rPr>
                <w:iCs/>
              </w:rPr>
              <w:t>or pupil premium at Thames View Junior</w:t>
            </w:r>
            <w:r w:rsidRPr="00C54501">
              <w:rPr>
                <w:iCs/>
              </w:rPr>
              <w:t xml:space="preserve"> is significantly high</w:t>
            </w:r>
            <w:r w:rsidR="00F27E26">
              <w:rPr>
                <w:iCs/>
              </w:rPr>
              <w:t>er than the national average</w:t>
            </w:r>
            <w:r w:rsidRPr="00C54501">
              <w:rPr>
                <w:iCs/>
              </w:rPr>
              <w:t>. Our Pupil Premium Strategy aims to address the mai</w:t>
            </w:r>
            <w:r>
              <w:rPr>
                <w:iCs/>
              </w:rPr>
              <w:t>n barriers our children face with</w:t>
            </w:r>
            <w:r w:rsidRPr="00C54501">
              <w:rPr>
                <w:iCs/>
              </w:rPr>
              <w:t xml:space="preserve"> rigorous tracking, careful planning and targeted support and intervention. This will provide all children the access and opportunities to enjoy academic success and</w:t>
            </w:r>
            <w:r w:rsidR="00583581">
              <w:rPr>
                <w:iCs/>
              </w:rPr>
              <w:t xml:space="preserve"> to flourish in the next step of their lives.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7CE231F" w:rsidR="00E66558" w:rsidRPr="00341378" w:rsidRDefault="00341378">
            <w:pPr>
              <w:pStyle w:val="TableRowCentered"/>
              <w:jc w:val="left"/>
              <w:rPr>
                <w:rFonts w:asciiTheme="minorHAnsi" w:hAnsiTheme="minorHAnsi" w:cstheme="minorHAnsi"/>
                <w:sz w:val="20"/>
              </w:rPr>
            </w:pPr>
            <w:r w:rsidRPr="00341378">
              <w:rPr>
                <w:rFonts w:asciiTheme="minorHAnsi" w:hAnsiTheme="minorHAnsi" w:cstheme="minorHAnsi"/>
                <w:sz w:val="20"/>
              </w:rPr>
              <w:t>Gaps in learning prevent pupils from achieving age related expectations, particularly those eligible for pupil premium funding. Particularly due to school closures in March 2020 , January 2021 and due to Corona Virus).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6569F63" w:rsidR="00E66558" w:rsidRPr="00341378" w:rsidRDefault="00071A7F">
            <w:pPr>
              <w:pStyle w:val="TableRowCentered"/>
              <w:jc w:val="left"/>
              <w:rPr>
                <w:rFonts w:asciiTheme="minorHAnsi" w:hAnsiTheme="minorHAnsi" w:cstheme="minorHAnsi"/>
                <w:sz w:val="20"/>
              </w:rPr>
            </w:pPr>
            <w:r>
              <w:rPr>
                <w:rFonts w:asciiTheme="minorHAnsi" w:hAnsiTheme="minorHAnsi" w:cstheme="minorHAnsi"/>
                <w:sz w:val="20"/>
              </w:rPr>
              <w:t>Social difficulties experienced</w:t>
            </w:r>
            <w:r w:rsidR="00341378" w:rsidRPr="00341378">
              <w:rPr>
                <w:rFonts w:asciiTheme="minorHAnsi" w:hAnsiTheme="minorHAnsi" w:cstheme="minorHAnsi"/>
                <w:sz w:val="20"/>
              </w:rPr>
              <w:t xml:space="preserve"> by families </w:t>
            </w:r>
            <w:r>
              <w:rPr>
                <w:rFonts w:asciiTheme="minorHAnsi" w:hAnsiTheme="minorHAnsi" w:cstheme="minorHAnsi"/>
                <w:sz w:val="20"/>
              </w:rPr>
              <w:t>including</w:t>
            </w:r>
            <w:r w:rsidR="00341378" w:rsidRPr="00341378">
              <w:rPr>
                <w:rFonts w:asciiTheme="minorHAnsi" w:hAnsiTheme="minorHAnsi" w:cstheme="minorHAnsi"/>
                <w:sz w:val="20"/>
              </w:rPr>
              <w:t xml:space="preserve"> housing, finance, family literacy and parental anxieties.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4586AFE" w:rsidR="00E66558" w:rsidRPr="00341378" w:rsidRDefault="00EA44AF" w:rsidP="00EA44AF">
            <w:pPr>
              <w:pStyle w:val="TableRowCentered"/>
              <w:tabs>
                <w:tab w:val="left" w:pos="1741"/>
              </w:tabs>
              <w:jc w:val="left"/>
              <w:rPr>
                <w:rFonts w:asciiTheme="minorHAnsi" w:hAnsiTheme="minorHAnsi" w:cstheme="minorHAnsi"/>
                <w:sz w:val="20"/>
              </w:rPr>
            </w:pPr>
            <w:r w:rsidRPr="00EA44AF">
              <w:rPr>
                <w:rFonts w:asciiTheme="minorHAnsi" w:hAnsiTheme="minorHAnsi" w:cstheme="minorHAnsi"/>
                <w:sz w:val="20"/>
              </w:rPr>
              <w:t>Attendance and punctuality is lower than other pupils. There is a higher record of persisten</w:t>
            </w:r>
            <w:r w:rsidR="00071A7F">
              <w:rPr>
                <w:rFonts w:asciiTheme="minorHAnsi" w:hAnsiTheme="minorHAnsi" w:cstheme="minorHAnsi"/>
                <w:sz w:val="20"/>
              </w:rPr>
              <w:t>t absenteeism in PP children (58% last year as opposed to 13</w:t>
            </w:r>
            <w:r w:rsidRPr="00EA44AF">
              <w:rPr>
                <w:rFonts w:asciiTheme="minorHAnsi" w:hAnsiTheme="minorHAnsi" w:cstheme="minorHAnsi"/>
                <w:sz w:val="20"/>
              </w:rPr>
              <w:t>% for Non-PP)</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3E17F9B" w:rsidR="00E66558" w:rsidRPr="00341378" w:rsidRDefault="00341378">
            <w:pPr>
              <w:pStyle w:val="TableRowCentered"/>
              <w:jc w:val="left"/>
              <w:rPr>
                <w:rFonts w:asciiTheme="minorHAnsi" w:hAnsiTheme="minorHAnsi" w:cstheme="minorHAnsi"/>
                <w:iCs/>
                <w:sz w:val="20"/>
              </w:rPr>
            </w:pPr>
            <w:r w:rsidRPr="00341378">
              <w:rPr>
                <w:rFonts w:asciiTheme="minorHAnsi" w:hAnsiTheme="minorHAnsi" w:cstheme="minorHAnsi"/>
                <w:iCs/>
                <w:sz w:val="20"/>
              </w:rPr>
              <w:t xml:space="preserve">% of pupils eligible for pupil premium funding also falling into </w:t>
            </w:r>
            <w:r w:rsidR="00E65295">
              <w:rPr>
                <w:rFonts w:asciiTheme="minorHAnsi" w:hAnsiTheme="minorHAnsi" w:cstheme="minorHAnsi"/>
                <w:iCs/>
                <w:sz w:val="20"/>
              </w:rPr>
              <w:t>other target groups (SEND, vulnerable &amp; EAL</w:t>
            </w:r>
            <w:r w:rsidRPr="00341378">
              <w:rPr>
                <w:rFonts w:asciiTheme="minorHAnsi" w:hAnsiTheme="minorHAnsi" w:cstheme="minorHAnsi"/>
                <w:iCs/>
                <w:sz w:val="20"/>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5E2E20C" w:rsidR="00E66558" w:rsidRPr="00341378" w:rsidRDefault="00341378" w:rsidP="00341378">
            <w:pPr>
              <w:pStyle w:val="TableRowCentered"/>
              <w:jc w:val="left"/>
              <w:rPr>
                <w:rFonts w:asciiTheme="minorHAnsi" w:hAnsiTheme="minorHAnsi" w:cstheme="minorHAnsi"/>
                <w:iCs/>
                <w:sz w:val="20"/>
              </w:rPr>
            </w:pPr>
            <w:r w:rsidRPr="00341378">
              <w:rPr>
                <w:rFonts w:asciiTheme="minorHAnsi" w:hAnsiTheme="minorHAnsi" w:cstheme="minorHAnsi"/>
                <w:iCs/>
                <w:sz w:val="20"/>
              </w:rPr>
              <w:t>History of families poor educational experiences</w:t>
            </w:r>
          </w:p>
        </w:tc>
      </w:tr>
      <w:tr w:rsidR="00341378" w14:paraId="0923C83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D263" w14:textId="0BD71615" w:rsidR="00341378" w:rsidRDefault="0034137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F83C" w14:textId="1C35C871" w:rsidR="00341378" w:rsidRPr="00341378" w:rsidRDefault="00341378" w:rsidP="00341378">
            <w:pPr>
              <w:pStyle w:val="TableRowCentered"/>
              <w:tabs>
                <w:tab w:val="left" w:pos="1481"/>
              </w:tabs>
              <w:jc w:val="left"/>
              <w:rPr>
                <w:rFonts w:asciiTheme="minorHAnsi" w:hAnsiTheme="minorHAnsi" w:cstheme="minorHAnsi"/>
                <w:iCs/>
                <w:sz w:val="20"/>
              </w:rPr>
            </w:pPr>
            <w:r w:rsidRPr="00341378">
              <w:rPr>
                <w:rFonts w:asciiTheme="minorHAnsi" w:hAnsiTheme="minorHAnsi" w:cstheme="minorHAnsi"/>
                <w:iCs/>
                <w:sz w:val="20"/>
              </w:rPr>
              <w:t>Limited real life experience beyond the vicinity of Barking/Dagenham</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3D0763" w:rsidR="00E66558" w:rsidRPr="00E669AD" w:rsidRDefault="00071A7F" w:rsidP="001E2D4E">
            <w:pPr>
              <w:pStyle w:val="TableRow"/>
              <w:rPr>
                <w:sz w:val="20"/>
                <w:szCs w:val="20"/>
              </w:rPr>
            </w:pPr>
            <w:r w:rsidRPr="00E669AD">
              <w:rPr>
                <w:sz w:val="20"/>
                <w:szCs w:val="20"/>
              </w:rPr>
              <w:t>1.</w:t>
            </w:r>
            <w:r w:rsidR="001E2D4E" w:rsidRPr="00E669AD">
              <w:rPr>
                <w:sz w:val="20"/>
                <w:szCs w:val="20"/>
              </w:rPr>
              <w:t>Attainment gaps in learning between PP and Non- PP children close.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4D22" w14:textId="58FC7AA9" w:rsidR="00225737" w:rsidRPr="00E669AD" w:rsidRDefault="00DC5EAC" w:rsidP="00225737">
            <w:pPr>
              <w:pStyle w:val="TableRowCentered"/>
              <w:tabs>
                <w:tab w:val="left" w:pos="1170"/>
              </w:tabs>
              <w:ind w:left="0"/>
              <w:jc w:val="left"/>
              <w:rPr>
                <w:sz w:val="20"/>
              </w:rPr>
            </w:pPr>
            <w:r w:rsidRPr="00E669AD">
              <w:rPr>
                <w:sz w:val="20"/>
              </w:rPr>
              <w:t xml:space="preserve">Data shows the </w:t>
            </w:r>
            <w:r w:rsidR="001E2D4E" w:rsidRPr="00E669AD">
              <w:rPr>
                <w:sz w:val="20"/>
              </w:rPr>
              <w:t xml:space="preserve">attainment </w:t>
            </w:r>
            <w:r w:rsidRPr="00E669AD">
              <w:rPr>
                <w:sz w:val="20"/>
              </w:rPr>
              <w:t>gap between PP and non PP pupils is less than 10 % in all subjects.</w:t>
            </w:r>
          </w:p>
          <w:p w14:paraId="199E473D" w14:textId="1FEE5B5E" w:rsidR="00DC5EAC" w:rsidRPr="00E669AD" w:rsidRDefault="00DC5EAC" w:rsidP="00225737">
            <w:pPr>
              <w:pStyle w:val="TableRowCentered"/>
              <w:tabs>
                <w:tab w:val="left" w:pos="1170"/>
              </w:tabs>
              <w:ind w:left="0"/>
              <w:jc w:val="left"/>
              <w:rPr>
                <w:sz w:val="20"/>
              </w:rPr>
            </w:pPr>
          </w:p>
          <w:p w14:paraId="1633F88C" w14:textId="12F8A7CA" w:rsidR="001E2D4E" w:rsidRPr="00E669AD" w:rsidRDefault="001E2D4E" w:rsidP="00225737">
            <w:pPr>
              <w:pStyle w:val="TableRowCentered"/>
              <w:tabs>
                <w:tab w:val="left" w:pos="1170"/>
              </w:tabs>
              <w:ind w:left="0"/>
              <w:jc w:val="left"/>
              <w:rPr>
                <w:sz w:val="20"/>
              </w:rPr>
            </w:pPr>
            <w:r w:rsidRPr="00E669AD">
              <w:rPr>
                <w:sz w:val="20"/>
              </w:rPr>
              <w:t>Pupil Progress meetings demonstrate PP pupils are making the same progress as Non-PP pupils.</w:t>
            </w:r>
          </w:p>
          <w:p w14:paraId="54DC00CB" w14:textId="77777777" w:rsidR="001E2D4E" w:rsidRPr="00E669AD" w:rsidRDefault="001E2D4E" w:rsidP="00225737">
            <w:pPr>
              <w:pStyle w:val="TableRowCentered"/>
              <w:tabs>
                <w:tab w:val="left" w:pos="1170"/>
              </w:tabs>
              <w:ind w:left="0"/>
              <w:jc w:val="left"/>
              <w:rPr>
                <w:sz w:val="20"/>
              </w:rPr>
            </w:pPr>
          </w:p>
          <w:p w14:paraId="4F23D6DF" w14:textId="12E0A392" w:rsidR="00DC5EAC" w:rsidRPr="00E669AD" w:rsidRDefault="00DC5EAC" w:rsidP="00225737">
            <w:pPr>
              <w:pStyle w:val="TableRowCentered"/>
              <w:tabs>
                <w:tab w:val="left" w:pos="1170"/>
              </w:tabs>
              <w:ind w:left="0"/>
              <w:jc w:val="left"/>
              <w:rPr>
                <w:sz w:val="20"/>
              </w:rPr>
            </w:pPr>
            <w:r w:rsidRPr="00E669AD">
              <w:rPr>
                <w:sz w:val="20"/>
              </w:rPr>
              <w:t>PP pupils</w:t>
            </w:r>
            <w:r w:rsidR="00C11A8B" w:rsidRPr="00E669AD">
              <w:rPr>
                <w:sz w:val="20"/>
              </w:rPr>
              <w:t>’</w:t>
            </w:r>
            <w:r w:rsidRPr="00E669AD">
              <w:rPr>
                <w:sz w:val="20"/>
              </w:rPr>
              <w:t xml:space="preserve"> books </w:t>
            </w:r>
            <w:r w:rsidR="00C11A8B" w:rsidRPr="00E669AD">
              <w:rPr>
                <w:sz w:val="20"/>
              </w:rPr>
              <w:t>demonstrate</w:t>
            </w:r>
            <w:r w:rsidRPr="00E669AD">
              <w:rPr>
                <w:sz w:val="20"/>
              </w:rPr>
              <w:t xml:space="preserve"> </w:t>
            </w:r>
            <w:r w:rsidR="00C11A8B" w:rsidRPr="00E669AD">
              <w:rPr>
                <w:sz w:val="20"/>
              </w:rPr>
              <w:t>progress, in s</w:t>
            </w:r>
            <w:r w:rsidR="00F27E26">
              <w:rPr>
                <w:sz w:val="20"/>
              </w:rPr>
              <w:t xml:space="preserve">ome cases accelerated progress, in comparison to non-PP pupils. </w:t>
            </w:r>
          </w:p>
          <w:p w14:paraId="0E6F5359" w14:textId="5BB86099" w:rsidR="00C11A8B" w:rsidRPr="00E669AD" w:rsidRDefault="00C11A8B" w:rsidP="00225737">
            <w:pPr>
              <w:pStyle w:val="TableRowCentered"/>
              <w:tabs>
                <w:tab w:val="left" w:pos="1170"/>
              </w:tabs>
              <w:ind w:left="0"/>
              <w:jc w:val="left"/>
              <w:rPr>
                <w:sz w:val="20"/>
              </w:rPr>
            </w:pPr>
          </w:p>
          <w:p w14:paraId="2A7D5505" w14:textId="1395D342" w:rsidR="00DC5EAC" w:rsidRPr="00E669AD" w:rsidRDefault="00C11A8B" w:rsidP="00225737">
            <w:pPr>
              <w:pStyle w:val="TableRowCentered"/>
              <w:tabs>
                <w:tab w:val="left" w:pos="1170"/>
              </w:tabs>
              <w:ind w:left="0"/>
              <w:jc w:val="left"/>
              <w:rPr>
                <w:sz w:val="20"/>
              </w:rPr>
            </w:pPr>
            <w:r w:rsidRPr="00E669AD">
              <w:rPr>
                <w:sz w:val="20"/>
              </w:rPr>
              <w:t xml:space="preserve">Lesson observations demonstrate PP pupils are active and engaged in their learning.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EE2F5C0" w:rsidR="00E66558" w:rsidRPr="00E669AD" w:rsidRDefault="00071A7F">
            <w:pPr>
              <w:pStyle w:val="TableRow"/>
              <w:rPr>
                <w:sz w:val="20"/>
                <w:szCs w:val="20"/>
              </w:rPr>
            </w:pPr>
            <w:r w:rsidRPr="00E669AD">
              <w:rPr>
                <w:sz w:val="20"/>
                <w:szCs w:val="20"/>
              </w:rPr>
              <w:t>2.</w:t>
            </w:r>
            <w:r w:rsidR="001E2D4E" w:rsidRPr="00E669AD">
              <w:rPr>
                <w:sz w:val="20"/>
                <w:szCs w:val="20"/>
              </w:rPr>
              <w:t xml:space="preserve">Social difficulty barriers such as housing, finance, family literacy and parental anxieties are reduced or removed to impact Pupil’s learning positively.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53F4" w14:textId="531547C2" w:rsidR="00E66558" w:rsidRDefault="00DC1DAE">
            <w:pPr>
              <w:pStyle w:val="TableRowCentered"/>
              <w:jc w:val="left"/>
              <w:rPr>
                <w:sz w:val="20"/>
              </w:rPr>
            </w:pPr>
            <w:r w:rsidRPr="00E669AD">
              <w:rPr>
                <w:sz w:val="20"/>
              </w:rPr>
              <w:t xml:space="preserve">PP families confidently engage with school to seek </w:t>
            </w:r>
            <w:r w:rsidR="001B7886" w:rsidRPr="00E669AD">
              <w:rPr>
                <w:sz w:val="20"/>
              </w:rPr>
              <w:t xml:space="preserve">and offer </w:t>
            </w:r>
            <w:r w:rsidRPr="00E669AD">
              <w:rPr>
                <w:sz w:val="20"/>
              </w:rPr>
              <w:t>support.</w:t>
            </w:r>
            <w:r w:rsidR="00E202AD">
              <w:rPr>
                <w:sz w:val="20"/>
              </w:rPr>
              <w:t xml:space="preserve"> PP register will show which families are requesting support.</w:t>
            </w:r>
          </w:p>
          <w:p w14:paraId="1D3FF605" w14:textId="77777777" w:rsidR="00E202AD" w:rsidRPr="00E669AD" w:rsidRDefault="00E202AD">
            <w:pPr>
              <w:pStyle w:val="TableRowCentered"/>
              <w:jc w:val="left"/>
              <w:rPr>
                <w:sz w:val="20"/>
              </w:rPr>
            </w:pPr>
          </w:p>
          <w:p w14:paraId="0D7BAF06" w14:textId="77777777" w:rsidR="00DC1DAE" w:rsidRPr="00E669AD" w:rsidRDefault="00DC1DAE">
            <w:pPr>
              <w:pStyle w:val="TableRowCentered"/>
              <w:jc w:val="left"/>
              <w:rPr>
                <w:sz w:val="20"/>
              </w:rPr>
            </w:pPr>
          </w:p>
          <w:p w14:paraId="66096DD9" w14:textId="22C8B142" w:rsidR="00DC1DAE" w:rsidRPr="00E669AD" w:rsidRDefault="00DC1DAE" w:rsidP="00DC1DAE">
            <w:pPr>
              <w:pStyle w:val="TableRowCentered"/>
              <w:jc w:val="left"/>
              <w:rPr>
                <w:sz w:val="20"/>
              </w:rPr>
            </w:pPr>
            <w:r w:rsidRPr="00E669AD">
              <w:rPr>
                <w:sz w:val="20"/>
              </w:rPr>
              <w:t>PP families are more knowledgeable and utilise the support that the wider school community can offer them.</w:t>
            </w:r>
          </w:p>
          <w:p w14:paraId="0844F1B8" w14:textId="49D58DB5" w:rsidR="00DC1DAE" w:rsidRPr="00E669AD" w:rsidRDefault="00DC1DAE" w:rsidP="00DC1DAE">
            <w:pPr>
              <w:pStyle w:val="TableRowCentered"/>
              <w:jc w:val="left"/>
              <w:rPr>
                <w:sz w:val="20"/>
              </w:rPr>
            </w:pPr>
          </w:p>
          <w:p w14:paraId="56938F9C" w14:textId="08164764" w:rsidR="00DC1DAE" w:rsidRPr="00E669AD" w:rsidRDefault="00DC1DAE" w:rsidP="001B7886">
            <w:pPr>
              <w:pStyle w:val="TableRowCentered"/>
              <w:jc w:val="left"/>
              <w:rPr>
                <w:sz w:val="20"/>
              </w:rPr>
            </w:pPr>
            <w:r w:rsidRPr="00E669AD">
              <w:rPr>
                <w:sz w:val="20"/>
              </w:rPr>
              <w:t>Vulnerable PP pupils acc</w:t>
            </w:r>
            <w:r w:rsidR="001B7886" w:rsidRPr="00E669AD">
              <w:rPr>
                <w:sz w:val="20"/>
              </w:rPr>
              <w:t>ess school counselling service.</w:t>
            </w:r>
            <w:r w:rsidR="00E202AD">
              <w:rPr>
                <w:sz w:val="20"/>
              </w:rPr>
              <w:t xml:space="preserve"> Register for school counselling will show 100% attendance to sessions.</w:t>
            </w:r>
          </w:p>
          <w:p w14:paraId="3177F33F" w14:textId="77777777" w:rsidR="001B7886" w:rsidRPr="00E669AD" w:rsidRDefault="001B7886" w:rsidP="001B7886">
            <w:pPr>
              <w:pStyle w:val="TableRowCentered"/>
              <w:jc w:val="left"/>
              <w:rPr>
                <w:sz w:val="20"/>
              </w:rPr>
            </w:pPr>
          </w:p>
          <w:p w14:paraId="7B3CE8B6" w14:textId="5F9D5834" w:rsidR="001B7886" w:rsidRPr="00E669AD" w:rsidRDefault="001B7886" w:rsidP="001B7886">
            <w:pPr>
              <w:pStyle w:val="TableRowCentered"/>
              <w:jc w:val="left"/>
              <w:rPr>
                <w:sz w:val="20"/>
              </w:rPr>
            </w:pPr>
            <w:r w:rsidRPr="00E669AD">
              <w:rPr>
                <w:sz w:val="20"/>
              </w:rPr>
              <w:t>Clear safeguarding protocols allows for triangulation of key information between safeguarding team and teachers.</w:t>
            </w:r>
          </w:p>
          <w:p w14:paraId="2A7D5508" w14:textId="2B446E01" w:rsidR="001B7886" w:rsidRPr="00E669AD" w:rsidRDefault="001B7886" w:rsidP="001B7886">
            <w:pPr>
              <w:pStyle w:val="TableRowCentered"/>
              <w:jc w:val="left"/>
              <w:rPr>
                <w:sz w:val="20"/>
              </w:rPr>
            </w:pPr>
            <w:r w:rsidRPr="00E669AD">
              <w:rPr>
                <w:sz w:val="20"/>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A308C93" w:rsidR="00E66558" w:rsidRPr="00E669AD" w:rsidRDefault="00A94EB3">
            <w:pPr>
              <w:pStyle w:val="TableRow"/>
              <w:rPr>
                <w:sz w:val="20"/>
                <w:szCs w:val="20"/>
              </w:rPr>
            </w:pPr>
            <w:r w:rsidRPr="00E669AD">
              <w:rPr>
                <w:sz w:val="20"/>
                <w:szCs w:val="20"/>
              </w:rPr>
              <w:t xml:space="preserve">3. The attendance of PP to be the same as Non-PP pupils (96%).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FDC99" w14:textId="2AF848EC" w:rsidR="00E66558" w:rsidRPr="00E669AD" w:rsidRDefault="00A94EB3" w:rsidP="001B7886">
            <w:pPr>
              <w:pStyle w:val="TableRowCentered"/>
              <w:ind w:left="0"/>
              <w:jc w:val="left"/>
              <w:rPr>
                <w:sz w:val="20"/>
              </w:rPr>
            </w:pPr>
            <w:r w:rsidRPr="00E669AD">
              <w:rPr>
                <w:sz w:val="20"/>
              </w:rPr>
              <w:t>Attendance data to demonstrate that the there is a gap of 10% or below between absenteeism of PP pupils and non PP pupils.</w:t>
            </w:r>
          </w:p>
          <w:p w14:paraId="12123F35" w14:textId="6D993C24" w:rsidR="00A94EB3" w:rsidRPr="00E669AD" w:rsidRDefault="00A94EB3" w:rsidP="001B7886">
            <w:pPr>
              <w:pStyle w:val="TableRowCentered"/>
              <w:ind w:left="0"/>
              <w:jc w:val="left"/>
              <w:rPr>
                <w:sz w:val="20"/>
              </w:rPr>
            </w:pPr>
          </w:p>
          <w:p w14:paraId="2AA53268" w14:textId="6E9FFF4E" w:rsidR="00A94EB3" w:rsidRPr="00E669AD" w:rsidRDefault="00A94EB3" w:rsidP="001B7886">
            <w:pPr>
              <w:pStyle w:val="TableRowCentered"/>
              <w:ind w:left="0"/>
              <w:jc w:val="left"/>
              <w:rPr>
                <w:sz w:val="20"/>
              </w:rPr>
            </w:pPr>
            <w:r w:rsidRPr="00E669AD">
              <w:rPr>
                <w:sz w:val="20"/>
              </w:rPr>
              <w:t>PP pupils have a good attendance (96%) which results in PP pupils engaged with their learning and attainment &amp; progress data to show this.</w:t>
            </w:r>
          </w:p>
          <w:p w14:paraId="0B12417C" w14:textId="5F3ABF0A" w:rsidR="00A94EB3" w:rsidRPr="00E669AD" w:rsidRDefault="00A94EB3" w:rsidP="001B7886">
            <w:pPr>
              <w:pStyle w:val="TableRowCentered"/>
              <w:ind w:left="0"/>
              <w:jc w:val="left"/>
              <w:rPr>
                <w:sz w:val="20"/>
              </w:rPr>
            </w:pPr>
          </w:p>
          <w:p w14:paraId="6BBFDD10" w14:textId="2FF19694" w:rsidR="00A94EB3" w:rsidRPr="00E669AD" w:rsidRDefault="00A94EB3" w:rsidP="001B7886">
            <w:pPr>
              <w:pStyle w:val="TableRowCentered"/>
              <w:ind w:left="0"/>
              <w:jc w:val="left"/>
              <w:rPr>
                <w:sz w:val="20"/>
              </w:rPr>
            </w:pPr>
            <w:r w:rsidRPr="00E669AD">
              <w:rPr>
                <w:sz w:val="20"/>
              </w:rPr>
              <w:t xml:space="preserve">Breakfast club register demonstrates a higher proportion of PP attending free breakfast club to ensure they are in school on time for lessons. </w:t>
            </w:r>
          </w:p>
          <w:p w14:paraId="15473CE0" w14:textId="5210FD3B" w:rsidR="00A94EB3" w:rsidRPr="00E669AD" w:rsidRDefault="00A94EB3" w:rsidP="001B7886">
            <w:pPr>
              <w:pStyle w:val="TableRowCentered"/>
              <w:ind w:left="0"/>
              <w:jc w:val="left"/>
              <w:rPr>
                <w:sz w:val="20"/>
              </w:rPr>
            </w:pPr>
          </w:p>
          <w:p w14:paraId="70CFAD01" w14:textId="28E8BAAB" w:rsidR="00A94EB3" w:rsidRPr="00E669AD" w:rsidRDefault="00A94EB3" w:rsidP="001B7886">
            <w:pPr>
              <w:pStyle w:val="TableRowCentered"/>
              <w:ind w:left="0"/>
              <w:jc w:val="left"/>
              <w:rPr>
                <w:sz w:val="20"/>
              </w:rPr>
            </w:pPr>
            <w:r w:rsidRPr="00E669AD">
              <w:rPr>
                <w:sz w:val="20"/>
              </w:rPr>
              <w:t xml:space="preserve">Families follow the </w:t>
            </w:r>
            <w:r w:rsidR="00E65295" w:rsidRPr="00E669AD">
              <w:rPr>
                <w:sz w:val="20"/>
              </w:rPr>
              <w:t xml:space="preserve">clear </w:t>
            </w:r>
            <w:r w:rsidRPr="00E669AD">
              <w:rPr>
                <w:sz w:val="20"/>
              </w:rPr>
              <w:t>attendance policy which results in PP pupils having good attendance (96%).</w:t>
            </w:r>
          </w:p>
          <w:p w14:paraId="75EA21BD" w14:textId="77777777" w:rsidR="00A94EB3" w:rsidRPr="00E669AD" w:rsidRDefault="00A94EB3" w:rsidP="001B7886">
            <w:pPr>
              <w:pStyle w:val="TableRowCentered"/>
              <w:ind w:left="0"/>
              <w:jc w:val="left"/>
              <w:rPr>
                <w:sz w:val="20"/>
              </w:rPr>
            </w:pPr>
          </w:p>
          <w:p w14:paraId="2A7D550B" w14:textId="5544856F" w:rsidR="00A94EB3" w:rsidRPr="00E669AD" w:rsidRDefault="00A94EB3" w:rsidP="001B7886">
            <w:pPr>
              <w:pStyle w:val="TableRowCentered"/>
              <w:ind w:left="0"/>
              <w:jc w:val="left"/>
              <w:rPr>
                <w:sz w:val="20"/>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CDEA4B1" w:rsidR="00E66558" w:rsidRPr="00E669AD" w:rsidRDefault="00E65295" w:rsidP="00E669AD">
            <w:pPr>
              <w:pStyle w:val="TableRow"/>
              <w:rPr>
                <w:sz w:val="20"/>
                <w:szCs w:val="20"/>
              </w:rPr>
            </w:pPr>
            <w:r w:rsidRPr="00E669AD">
              <w:rPr>
                <w:sz w:val="20"/>
                <w:szCs w:val="20"/>
              </w:rPr>
              <w:lastRenderedPageBreak/>
              <w:t xml:space="preserve">Pupils who are </w:t>
            </w:r>
            <w:r w:rsidR="00E669AD">
              <w:rPr>
                <w:sz w:val="20"/>
                <w:szCs w:val="20"/>
              </w:rPr>
              <w:t xml:space="preserve">the most vulnerable </w:t>
            </w:r>
            <w:r w:rsidR="00E669AD" w:rsidRPr="00E669AD">
              <w:rPr>
                <w:sz w:val="20"/>
                <w:szCs w:val="20"/>
              </w:rPr>
              <w:t xml:space="preserve">(EAL,PP,CIN CP, SEND) </w:t>
            </w:r>
            <w:r w:rsidR="00066F1B" w:rsidRPr="00E669AD">
              <w:rPr>
                <w:sz w:val="20"/>
                <w:szCs w:val="20"/>
              </w:rPr>
              <w:t>to be supported using the PP funding.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69D9" w14:textId="0EA61B83" w:rsidR="00E66558" w:rsidRPr="00E669AD" w:rsidRDefault="00066F1B">
            <w:pPr>
              <w:pStyle w:val="TableRowCentered"/>
              <w:jc w:val="left"/>
              <w:rPr>
                <w:sz w:val="20"/>
              </w:rPr>
            </w:pPr>
            <w:r w:rsidRPr="00E669AD">
              <w:rPr>
                <w:sz w:val="20"/>
              </w:rPr>
              <w:t>Pupils who are the most vulnerable (</w:t>
            </w:r>
            <w:r w:rsidR="00E669AD" w:rsidRPr="00E669AD">
              <w:rPr>
                <w:sz w:val="20"/>
              </w:rPr>
              <w:t>EAL, PP, CIN</w:t>
            </w:r>
            <w:r w:rsidRPr="00E669AD">
              <w:rPr>
                <w:sz w:val="20"/>
              </w:rPr>
              <w:t xml:space="preserve"> CP, SEND) to receive emotional well-being support to ensure engagement with school life.</w:t>
            </w:r>
          </w:p>
          <w:p w14:paraId="156B8511" w14:textId="77777777" w:rsidR="00066F1B" w:rsidRPr="00E669AD" w:rsidRDefault="00066F1B">
            <w:pPr>
              <w:pStyle w:val="TableRowCentered"/>
              <w:jc w:val="left"/>
              <w:rPr>
                <w:sz w:val="20"/>
              </w:rPr>
            </w:pPr>
          </w:p>
          <w:p w14:paraId="36BCCC16" w14:textId="09DB7DA7" w:rsidR="00066F1B" w:rsidRDefault="00066F1B">
            <w:pPr>
              <w:pStyle w:val="TableRowCentered"/>
              <w:jc w:val="left"/>
              <w:rPr>
                <w:sz w:val="20"/>
              </w:rPr>
            </w:pPr>
            <w:r w:rsidRPr="00E669AD">
              <w:rPr>
                <w:sz w:val="20"/>
              </w:rPr>
              <w:t>Pupils who are the most vulnerable (</w:t>
            </w:r>
            <w:r w:rsidR="00E202AD" w:rsidRPr="00E669AD">
              <w:rPr>
                <w:sz w:val="20"/>
              </w:rPr>
              <w:t>EAL, PP, CIN</w:t>
            </w:r>
            <w:r w:rsidRPr="00E669AD">
              <w:rPr>
                <w:sz w:val="20"/>
              </w:rPr>
              <w:t xml:space="preserve"> CP, SEND) to be making the expected progress at each assessment point in the academic year.</w:t>
            </w:r>
          </w:p>
          <w:p w14:paraId="64DA6C5A" w14:textId="552FD2FF" w:rsidR="00E669AD" w:rsidRDefault="00E669AD">
            <w:pPr>
              <w:pStyle w:val="TableRowCentered"/>
              <w:jc w:val="left"/>
              <w:rPr>
                <w:sz w:val="20"/>
              </w:rPr>
            </w:pPr>
          </w:p>
          <w:p w14:paraId="26BE5A67" w14:textId="713F105E" w:rsidR="00E669AD" w:rsidRDefault="00E669AD">
            <w:pPr>
              <w:pStyle w:val="TableRowCentered"/>
              <w:jc w:val="left"/>
              <w:rPr>
                <w:sz w:val="20"/>
              </w:rPr>
            </w:pPr>
            <w:r w:rsidRPr="00E669AD">
              <w:rPr>
                <w:sz w:val="20"/>
              </w:rPr>
              <w:t>Pupils who are the most vulnerable (EAL, PP, CIN CP, SEND) to</w:t>
            </w:r>
            <w:r>
              <w:rPr>
                <w:sz w:val="20"/>
              </w:rPr>
              <w:t xml:space="preserve"> receive a curriculum modified to their needs.</w:t>
            </w:r>
            <w:r w:rsidR="00C90664">
              <w:rPr>
                <w:sz w:val="20"/>
              </w:rPr>
              <w:t xml:space="preserve"> This will then reflect in progress data.</w:t>
            </w:r>
          </w:p>
          <w:p w14:paraId="4D5B84A1" w14:textId="77777777" w:rsidR="00E669AD" w:rsidRPr="00E669AD" w:rsidRDefault="00E669AD">
            <w:pPr>
              <w:pStyle w:val="TableRowCentered"/>
              <w:jc w:val="left"/>
              <w:rPr>
                <w:sz w:val="20"/>
              </w:rPr>
            </w:pPr>
          </w:p>
          <w:p w14:paraId="0A56BCAB" w14:textId="77777777" w:rsidR="00066F1B" w:rsidRPr="00E669AD" w:rsidRDefault="00066F1B">
            <w:pPr>
              <w:pStyle w:val="TableRowCentered"/>
              <w:jc w:val="left"/>
              <w:rPr>
                <w:sz w:val="20"/>
              </w:rPr>
            </w:pPr>
          </w:p>
          <w:p w14:paraId="2A7D550E" w14:textId="13D3930B" w:rsidR="00066F1B" w:rsidRPr="00E669AD" w:rsidRDefault="00066F1B">
            <w:pPr>
              <w:pStyle w:val="TableRowCentered"/>
              <w:jc w:val="left"/>
              <w:rPr>
                <w:sz w:val="20"/>
              </w:rPr>
            </w:pPr>
          </w:p>
        </w:tc>
      </w:tr>
      <w:tr w:rsidR="00E669AD" w14:paraId="6CE2A9E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94B8" w14:textId="07B39C0E" w:rsidR="00E669AD" w:rsidRPr="00E669AD" w:rsidRDefault="00E669AD" w:rsidP="00E669AD">
            <w:pPr>
              <w:pStyle w:val="TableRow"/>
              <w:rPr>
                <w:sz w:val="20"/>
                <w:szCs w:val="20"/>
              </w:rPr>
            </w:pPr>
            <w:r>
              <w:rPr>
                <w:sz w:val="20"/>
                <w:szCs w:val="20"/>
              </w:rPr>
              <w:t xml:space="preserve">To provide our families with more educational experiences.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EE6E" w14:textId="397E1F2A" w:rsidR="00E202AD" w:rsidRDefault="00E669AD">
            <w:pPr>
              <w:pStyle w:val="TableRowCentered"/>
              <w:jc w:val="left"/>
              <w:rPr>
                <w:sz w:val="20"/>
              </w:rPr>
            </w:pPr>
            <w:r>
              <w:rPr>
                <w:sz w:val="20"/>
              </w:rPr>
              <w:t xml:space="preserve">Parent </w:t>
            </w:r>
            <w:r w:rsidR="00E202AD">
              <w:rPr>
                <w:sz w:val="20"/>
              </w:rPr>
              <w:t>engagement</w:t>
            </w:r>
            <w:r>
              <w:rPr>
                <w:sz w:val="20"/>
              </w:rPr>
              <w:t xml:space="preserve"> action plan</w:t>
            </w:r>
            <w:r w:rsidR="00E202AD">
              <w:rPr>
                <w:sz w:val="20"/>
              </w:rPr>
              <w:t xml:space="preserve"> in place to ensure we build and develop parental engagement. Action plan to show actions have been met.</w:t>
            </w:r>
          </w:p>
          <w:p w14:paraId="0CBEDEBE" w14:textId="37460992" w:rsidR="00E202AD" w:rsidRDefault="00E202AD">
            <w:pPr>
              <w:pStyle w:val="TableRowCentered"/>
              <w:jc w:val="left"/>
              <w:rPr>
                <w:sz w:val="20"/>
              </w:rPr>
            </w:pPr>
          </w:p>
          <w:p w14:paraId="14E9F936" w14:textId="701D3E22" w:rsidR="00E202AD" w:rsidRDefault="00E202AD">
            <w:pPr>
              <w:pStyle w:val="TableRowCentered"/>
              <w:jc w:val="left"/>
              <w:rPr>
                <w:sz w:val="20"/>
              </w:rPr>
            </w:pPr>
            <w:r>
              <w:rPr>
                <w:sz w:val="20"/>
              </w:rPr>
              <w:t xml:space="preserve">Registers of parent workshops will demonstrate 90% uptake of any courses offered to parents. </w:t>
            </w:r>
          </w:p>
          <w:p w14:paraId="2CE59F3B" w14:textId="2720F1A7" w:rsidR="00C90664" w:rsidRDefault="00C90664">
            <w:pPr>
              <w:pStyle w:val="TableRowCentered"/>
              <w:jc w:val="left"/>
              <w:rPr>
                <w:sz w:val="20"/>
              </w:rPr>
            </w:pPr>
          </w:p>
          <w:p w14:paraId="35E36198" w14:textId="3D3BB13C" w:rsidR="00C90664" w:rsidRDefault="00C90664">
            <w:pPr>
              <w:pStyle w:val="TableRowCentered"/>
              <w:jc w:val="left"/>
              <w:rPr>
                <w:sz w:val="20"/>
              </w:rPr>
            </w:pPr>
            <w:r>
              <w:rPr>
                <w:sz w:val="20"/>
              </w:rPr>
              <w:t>Parent voice indicates majority of parents have taken opportunities to be involved in an educational experience at school.</w:t>
            </w:r>
          </w:p>
          <w:p w14:paraId="0E43C878" w14:textId="77777777" w:rsidR="00E202AD" w:rsidRDefault="00E202AD">
            <w:pPr>
              <w:pStyle w:val="TableRowCentered"/>
              <w:jc w:val="left"/>
              <w:rPr>
                <w:sz w:val="20"/>
              </w:rPr>
            </w:pPr>
          </w:p>
          <w:p w14:paraId="7C768A13" w14:textId="040190F5" w:rsidR="00E669AD" w:rsidRDefault="00E669AD" w:rsidP="00E202AD">
            <w:pPr>
              <w:pStyle w:val="TableRowCentered"/>
              <w:ind w:left="0"/>
              <w:jc w:val="left"/>
              <w:rPr>
                <w:sz w:val="20"/>
              </w:rPr>
            </w:pPr>
          </w:p>
          <w:p w14:paraId="362A0A19" w14:textId="77777777" w:rsidR="00E202AD" w:rsidRDefault="00E202AD">
            <w:pPr>
              <w:pStyle w:val="TableRowCentered"/>
              <w:jc w:val="left"/>
              <w:rPr>
                <w:sz w:val="20"/>
              </w:rPr>
            </w:pPr>
          </w:p>
          <w:p w14:paraId="2A9D3ABA" w14:textId="23E22820" w:rsidR="00E202AD" w:rsidRPr="00E669AD" w:rsidRDefault="00E202AD">
            <w:pPr>
              <w:pStyle w:val="TableRowCentered"/>
              <w:jc w:val="left"/>
              <w:rPr>
                <w:sz w:val="20"/>
              </w:rPr>
            </w:pPr>
          </w:p>
        </w:tc>
      </w:tr>
      <w:tr w:rsidR="00376281" w14:paraId="54CCFA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7307" w14:textId="016ED3F9" w:rsidR="00376281" w:rsidRDefault="00376281" w:rsidP="00E669AD">
            <w:pPr>
              <w:pStyle w:val="TableRow"/>
              <w:rPr>
                <w:sz w:val="20"/>
                <w:szCs w:val="20"/>
              </w:rPr>
            </w:pPr>
            <w:r>
              <w:rPr>
                <w:sz w:val="20"/>
                <w:szCs w:val="20"/>
              </w:rPr>
              <w:t xml:space="preserve">PP pupils are given opportunities to experience life </w:t>
            </w:r>
            <w:r w:rsidRPr="00376281">
              <w:rPr>
                <w:sz w:val="20"/>
                <w:szCs w:val="20"/>
              </w:rPr>
              <w:t>beyond the vicinity</w:t>
            </w:r>
            <w:r>
              <w:rPr>
                <w:sz w:val="20"/>
                <w:szCs w:val="20"/>
              </w:rPr>
              <w:t xml:space="preserve"> of Barking &amp; </w:t>
            </w:r>
            <w:r w:rsidRPr="00376281">
              <w:rPr>
                <w:sz w:val="20"/>
                <w:szCs w:val="20"/>
              </w:rPr>
              <w:t>Dagenham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06DE" w14:textId="518000F4" w:rsidR="00376281" w:rsidRDefault="00376281">
            <w:pPr>
              <w:pStyle w:val="TableRowCentered"/>
              <w:jc w:val="left"/>
              <w:rPr>
                <w:sz w:val="20"/>
              </w:rPr>
            </w:pPr>
            <w:r>
              <w:rPr>
                <w:sz w:val="20"/>
              </w:rPr>
              <w:t xml:space="preserve">All PP pupils are able to attend </w:t>
            </w:r>
            <w:r w:rsidR="00451B50">
              <w:rPr>
                <w:sz w:val="20"/>
              </w:rPr>
              <w:t xml:space="preserve">trips as result of accessing </w:t>
            </w:r>
            <w:r>
              <w:rPr>
                <w:sz w:val="20"/>
              </w:rPr>
              <w:t>PP funding.</w:t>
            </w:r>
          </w:p>
          <w:p w14:paraId="074B90C1" w14:textId="77777777" w:rsidR="00376281" w:rsidRDefault="00376281">
            <w:pPr>
              <w:pStyle w:val="TableRowCentered"/>
              <w:jc w:val="left"/>
              <w:rPr>
                <w:sz w:val="20"/>
              </w:rPr>
            </w:pPr>
          </w:p>
          <w:p w14:paraId="5598325A" w14:textId="77777777" w:rsidR="00376281" w:rsidRDefault="00B733A0">
            <w:pPr>
              <w:pStyle w:val="TableRowCentered"/>
              <w:jc w:val="left"/>
              <w:rPr>
                <w:sz w:val="20"/>
              </w:rPr>
            </w:pPr>
            <w:r>
              <w:rPr>
                <w:sz w:val="20"/>
              </w:rPr>
              <w:t>After school club registers show majority of the pupils are PP pupils.</w:t>
            </w:r>
          </w:p>
          <w:p w14:paraId="7109A144" w14:textId="77777777" w:rsidR="00B733A0" w:rsidRDefault="00B733A0">
            <w:pPr>
              <w:pStyle w:val="TableRowCentered"/>
              <w:jc w:val="left"/>
              <w:rPr>
                <w:sz w:val="20"/>
              </w:rPr>
            </w:pPr>
          </w:p>
          <w:p w14:paraId="5F6BC42B" w14:textId="77777777" w:rsidR="00B733A0" w:rsidRDefault="00B733A0">
            <w:pPr>
              <w:pStyle w:val="TableRowCentered"/>
              <w:jc w:val="left"/>
              <w:rPr>
                <w:sz w:val="20"/>
              </w:rPr>
            </w:pPr>
            <w:r>
              <w:rPr>
                <w:sz w:val="20"/>
              </w:rPr>
              <w:t>Tracking of PP pupils who play a musical instrument is higher than previous academic year.</w:t>
            </w:r>
          </w:p>
          <w:p w14:paraId="553A786F" w14:textId="77777777" w:rsidR="00B733A0" w:rsidRDefault="00B733A0">
            <w:pPr>
              <w:pStyle w:val="TableRowCentered"/>
              <w:jc w:val="left"/>
              <w:rPr>
                <w:sz w:val="20"/>
              </w:rPr>
            </w:pPr>
          </w:p>
          <w:p w14:paraId="6906F05D" w14:textId="77777777" w:rsidR="00B733A0" w:rsidRDefault="00B733A0" w:rsidP="00B733A0">
            <w:pPr>
              <w:pStyle w:val="TableRowCentered"/>
              <w:ind w:left="0"/>
              <w:jc w:val="left"/>
              <w:rPr>
                <w:sz w:val="20"/>
              </w:rPr>
            </w:pPr>
            <w:r>
              <w:rPr>
                <w:sz w:val="20"/>
              </w:rPr>
              <w:t xml:space="preserve">All PP pupils will take part in any external paid workshops as a result of </w:t>
            </w:r>
            <w:r w:rsidR="00451B50">
              <w:rPr>
                <w:sz w:val="20"/>
              </w:rPr>
              <w:t xml:space="preserve">accessing PP funding. </w:t>
            </w:r>
          </w:p>
          <w:p w14:paraId="61524A7B" w14:textId="77777777" w:rsidR="00451B50" w:rsidRDefault="00451B50" w:rsidP="00B733A0">
            <w:pPr>
              <w:pStyle w:val="TableRowCentered"/>
              <w:ind w:left="0"/>
              <w:jc w:val="left"/>
              <w:rPr>
                <w:sz w:val="20"/>
              </w:rPr>
            </w:pPr>
          </w:p>
          <w:p w14:paraId="0671BF85" w14:textId="521584F1" w:rsidR="00451B50" w:rsidRDefault="00451B50" w:rsidP="00B733A0">
            <w:pPr>
              <w:pStyle w:val="TableRowCentered"/>
              <w:ind w:left="0"/>
              <w:jc w:val="left"/>
              <w:rPr>
                <w:sz w:val="20"/>
              </w:rPr>
            </w:pPr>
            <w:r>
              <w:rPr>
                <w:sz w:val="20"/>
              </w:rPr>
              <w:t xml:space="preserve">All PP pupils to be seen in full uniform as a result of PP families accessing support with purchasing school uniform.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AC98AD" w:rsidR="00E66558" w:rsidRDefault="003F04AB">
      <w:r>
        <w:t xml:space="preserve">Budgeted cost: </w:t>
      </w:r>
      <w:r w:rsidR="009D71E8">
        <w:t xml:space="preserve"> </w:t>
      </w:r>
      <w:r>
        <w:t>£84,154.20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177C" w14:textId="2B3D0623" w:rsidR="00BC66CD" w:rsidRDefault="00DE0408">
            <w:pPr>
              <w:pStyle w:val="TableRow"/>
            </w:pPr>
            <w:r>
              <w:t xml:space="preserve">All teachers given ½ day developmental time </w:t>
            </w:r>
            <w:r w:rsidR="009C18F9">
              <w:t xml:space="preserve">per week, </w:t>
            </w:r>
            <w:r>
              <w:t xml:space="preserve">with a focus on assessment. </w:t>
            </w:r>
          </w:p>
          <w:p w14:paraId="04320E32" w14:textId="77777777" w:rsidR="009C18F9" w:rsidRDefault="009C18F9">
            <w:pPr>
              <w:pStyle w:val="TableRow"/>
            </w:pPr>
          </w:p>
          <w:p w14:paraId="2A7D551A" w14:textId="79D98215" w:rsidR="009C18F9" w:rsidRDefault="00FA0E2D">
            <w:pPr>
              <w:pStyle w:val="TableRow"/>
            </w:pPr>
            <w:r>
              <w:t xml:space="preserve">Each week to release </w:t>
            </w:r>
            <w:r w:rsidR="009C18F9">
              <w:t xml:space="preserve"> x3 class teachers for </w:t>
            </w:r>
            <w:r w:rsidRPr="00FA0E2D">
              <w:t>½</w:t>
            </w:r>
            <w:r>
              <w:t xml:space="preserve"> day </w:t>
            </w:r>
            <w:r w:rsidRPr="004C6BB4">
              <w:rPr>
                <w:highlight w:val="cyan"/>
              </w:rPr>
              <w:t>£84,154.20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FA8B" w14:textId="7F8B1F56" w:rsidR="009C18F9" w:rsidRDefault="009C18F9">
            <w:pPr>
              <w:pStyle w:val="TableRowCentered"/>
              <w:jc w:val="left"/>
            </w:pPr>
            <w:r>
              <w:t>Teachers in every year group are given ½ day developmental time as an addition to PPA time.</w:t>
            </w:r>
          </w:p>
          <w:p w14:paraId="173E198F" w14:textId="5911D041" w:rsidR="009C18F9" w:rsidRDefault="009C18F9">
            <w:pPr>
              <w:pStyle w:val="TableRowCentered"/>
              <w:jc w:val="left"/>
            </w:pPr>
            <w:r>
              <w:t xml:space="preserve">This allows our teachers to develop and embed effective formative assessment </w:t>
            </w:r>
            <w:r w:rsidR="005F7353">
              <w:t>strategies</w:t>
            </w:r>
            <w:r>
              <w:t xml:space="preserve"> to ensure all pupils make progress including PP pupils. </w:t>
            </w:r>
            <w:r w:rsidR="004D1CB1">
              <w:t>Effective assessment leads to good teaching.</w:t>
            </w:r>
          </w:p>
          <w:p w14:paraId="1B6F3A09" w14:textId="77777777" w:rsidR="004D1CB1" w:rsidRDefault="004D1CB1">
            <w:pPr>
              <w:pStyle w:val="TableRowCentered"/>
              <w:jc w:val="left"/>
            </w:pPr>
          </w:p>
          <w:p w14:paraId="6E153EC1" w14:textId="298845FC" w:rsidR="009C18F9" w:rsidRPr="009C18F9" w:rsidRDefault="009C18F9">
            <w:pPr>
              <w:pStyle w:val="TableRowCentered"/>
              <w:jc w:val="left"/>
              <w:rPr>
                <w:i/>
                <w:color w:val="365F91" w:themeColor="accent1" w:themeShade="BF"/>
              </w:rPr>
            </w:pPr>
            <w:r w:rsidRPr="009C18F9">
              <w:rPr>
                <w:i/>
                <w:color w:val="365F91" w:themeColor="accent1" w:themeShade="BF"/>
              </w:rPr>
              <w:t>EEF Guidance Report</w:t>
            </w:r>
          </w:p>
          <w:p w14:paraId="2A1BBF5C" w14:textId="77777777" w:rsidR="00BC66CD" w:rsidRDefault="00DE0408">
            <w:pPr>
              <w:pStyle w:val="TableRowCentered"/>
              <w:jc w:val="left"/>
              <w:rPr>
                <w:i/>
                <w:color w:val="365F91" w:themeColor="accent1" w:themeShade="BF"/>
              </w:rPr>
            </w:pPr>
            <w:r w:rsidRPr="009C18F9">
              <w:rPr>
                <w:i/>
                <w:color w:val="365F91" w:themeColor="accent1" w:themeShade="BF"/>
              </w:rPr>
              <w:t>Effective feedback policies encourage teachers to consider the foundations for the feedback they provide– highlighting the importance of delivering high-quality instruction, which includes making purposeful use of formative assessment strategies, beforehand.</w:t>
            </w:r>
          </w:p>
          <w:p w14:paraId="57B46F1B" w14:textId="77777777" w:rsidR="00810CB4" w:rsidRDefault="00810CB4">
            <w:pPr>
              <w:pStyle w:val="TableRowCentered"/>
              <w:jc w:val="left"/>
              <w:rPr>
                <w:i/>
                <w:color w:val="365F91" w:themeColor="accent1" w:themeShade="BF"/>
              </w:rPr>
            </w:pPr>
          </w:p>
          <w:p w14:paraId="2A7D551B" w14:textId="0C70931F" w:rsidR="00810CB4" w:rsidRDefault="00810CB4">
            <w:pPr>
              <w:pStyle w:val="TableRowCentered"/>
              <w:jc w:val="left"/>
              <w:rPr>
                <w:sz w:val="22"/>
              </w:rPr>
            </w:pPr>
            <w:r w:rsidRPr="00810CB4">
              <w:rPr>
                <w:color w:val="365F91" w:themeColor="accent1" w:themeShade="BF"/>
              </w:rPr>
              <w:t>“Good teaching is the most important lever schools have to improve outcomes for disadvantaged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238FFE5" w:rsidR="00E66558" w:rsidRDefault="003F04AB">
      <w:r>
        <w:t>Budgeted cost: £51,180.00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43E09"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8BAF" w14:textId="403E5773" w:rsidR="00543E09" w:rsidRDefault="00543E09" w:rsidP="00543E09">
            <w:pPr>
              <w:pStyle w:val="TableRow"/>
            </w:pPr>
            <w:r>
              <w:t xml:space="preserve">HLTA employed to deliver interventions </w:t>
            </w:r>
            <w:r>
              <w:lastRenderedPageBreak/>
              <w:t>and small group tuition to Year 3&amp;4 PP pupils across the scho</w:t>
            </w:r>
            <w:r w:rsidRPr="003F04AB">
              <w:t>ol</w:t>
            </w:r>
            <w:r w:rsidR="003F04AB" w:rsidRPr="003F04AB">
              <w:t>.</w:t>
            </w:r>
            <w:r w:rsidR="003F04AB" w:rsidRPr="003F04AB">
              <w:rPr>
                <w:rFonts w:ascii="Calibri" w:hAnsi="Calibri" w:cs="Calibri"/>
                <w:color w:val="000000"/>
                <w:shd w:val="clear" w:color="auto" w:fill="FFFFFF"/>
              </w:rPr>
              <w:t xml:space="preserve"> </w:t>
            </w:r>
            <w:r w:rsidR="003F04AB" w:rsidRPr="004C6BB4">
              <w:rPr>
                <w:rFonts w:ascii="Calibri" w:hAnsi="Calibri" w:cs="Calibri"/>
                <w:color w:val="000000"/>
                <w:highlight w:val="cyan"/>
                <w:shd w:val="clear" w:color="auto" w:fill="FFFFFF"/>
              </w:rPr>
              <w:t>(£25,590.00)</w:t>
            </w:r>
          </w:p>
          <w:p w14:paraId="2CCC9F01" w14:textId="77777777" w:rsidR="00543E09" w:rsidRDefault="00543E09" w:rsidP="00543E09">
            <w:pPr>
              <w:pStyle w:val="TableRow"/>
            </w:pPr>
          </w:p>
          <w:p w14:paraId="40FCA874" w14:textId="77777777" w:rsidR="00543E09" w:rsidRDefault="00543E09" w:rsidP="00543E09">
            <w:pPr>
              <w:pStyle w:val="TableRow"/>
            </w:pPr>
          </w:p>
          <w:p w14:paraId="37D741BC" w14:textId="77777777" w:rsidR="00543E09" w:rsidRDefault="00543E09" w:rsidP="00543E09">
            <w:pPr>
              <w:pStyle w:val="TableRow"/>
            </w:pPr>
          </w:p>
          <w:p w14:paraId="580189BC" w14:textId="77777777" w:rsidR="00543E09" w:rsidRDefault="00543E09" w:rsidP="00543E09">
            <w:pPr>
              <w:pStyle w:val="TableRow"/>
            </w:pPr>
          </w:p>
          <w:p w14:paraId="4E0DD33A" w14:textId="77777777" w:rsidR="00543E09" w:rsidRDefault="00543E09" w:rsidP="00543E09">
            <w:pPr>
              <w:pStyle w:val="TableRow"/>
              <w:rPr>
                <w:sz w:val="22"/>
              </w:rPr>
            </w:pPr>
            <w:r>
              <w:rPr>
                <w:sz w:val="22"/>
              </w:rPr>
              <w:t xml:space="preserve">PP lead </w:t>
            </w:r>
            <w:r w:rsidRPr="00BC66CD">
              <w:rPr>
                <w:sz w:val="22"/>
              </w:rPr>
              <w:t xml:space="preserve">employed to deliver interventions and </w:t>
            </w:r>
            <w:r>
              <w:rPr>
                <w:sz w:val="22"/>
              </w:rPr>
              <w:t xml:space="preserve">small group </w:t>
            </w:r>
            <w:proofErr w:type="gramStart"/>
            <w:r>
              <w:rPr>
                <w:sz w:val="22"/>
              </w:rPr>
              <w:t>tuition  to</w:t>
            </w:r>
            <w:proofErr w:type="gramEnd"/>
            <w:r>
              <w:rPr>
                <w:sz w:val="22"/>
              </w:rPr>
              <w:t xml:space="preserve"> Year 5&amp;6</w:t>
            </w:r>
            <w:r w:rsidRPr="00BC66CD">
              <w:rPr>
                <w:sz w:val="22"/>
              </w:rPr>
              <w:t xml:space="preserve"> PP pupils across the school.</w:t>
            </w:r>
          </w:p>
          <w:p w14:paraId="2A7D5529" w14:textId="036D416C" w:rsidR="00543E09" w:rsidRDefault="00543E09" w:rsidP="00543E09">
            <w:pPr>
              <w:pStyle w:val="TableRow"/>
            </w:pPr>
            <w:r w:rsidRPr="004C6BB4">
              <w:rPr>
                <w:rFonts w:ascii="Calibri" w:hAnsi="Calibri" w:cs="Calibri"/>
                <w:color w:val="000000"/>
                <w:highlight w:val="cyan"/>
                <w:shd w:val="clear" w:color="auto" w:fill="FFFFFF"/>
              </w:rPr>
              <w:t>(£25,590.00)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8E8D" w14:textId="77777777" w:rsidR="00543E09" w:rsidRDefault="00543E09" w:rsidP="00543E09">
            <w:pPr>
              <w:pStyle w:val="TableRowCentered"/>
              <w:jc w:val="left"/>
              <w:rPr>
                <w:sz w:val="22"/>
              </w:rPr>
            </w:pPr>
            <w:r>
              <w:rPr>
                <w:sz w:val="22"/>
              </w:rPr>
              <w:lastRenderedPageBreak/>
              <w:t>PP pupils’ progress and attainment has been greatly affected</w:t>
            </w:r>
            <w:r>
              <w:t xml:space="preserve"> </w:t>
            </w:r>
            <w:r w:rsidRPr="00DF1DA5">
              <w:rPr>
                <w:sz w:val="22"/>
              </w:rPr>
              <w:t xml:space="preserve">by school </w:t>
            </w:r>
            <w:r w:rsidRPr="00DF1DA5">
              <w:rPr>
                <w:sz w:val="22"/>
              </w:rPr>
              <w:lastRenderedPageBreak/>
              <w:t xml:space="preserve">closures over the last two years, resulting in a huge range of </w:t>
            </w:r>
            <w:r>
              <w:rPr>
                <w:sz w:val="22"/>
              </w:rPr>
              <w:t>abilities across the school.</w:t>
            </w:r>
          </w:p>
          <w:p w14:paraId="1930612F" w14:textId="77777777" w:rsidR="00543E09" w:rsidRDefault="00543E09" w:rsidP="00543E09">
            <w:pPr>
              <w:pStyle w:val="TableRowCentered"/>
              <w:jc w:val="left"/>
              <w:rPr>
                <w:sz w:val="22"/>
              </w:rPr>
            </w:pPr>
          </w:p>
          <w:p w14:paraId="700D171F" w14:textId="77777777" w:rsidR="00543E09" w:rsidRDefault="00543E09" w:rsidP="00543E09">
            <w:pPr>
              <w:pStyle w:val="TableRowCentered"/>
              <w:jc w:val="left"/>
              <w:rPr>
                <w:sz w:val="22"/>
              </w:rPr>
            </w:pPr>
            <w:r>
              <w:rPr>
                <w:sz w:val="22"/>
              </w:rPr>
              <w:t>By delivering interventions and small group tuition the HLTA</w:t>
            </w:r>
            <w:r w:rsidRPr="00DF1DA5">
              <w:rPr>
                <w:sz w:val="22"/>
              </w:rPr>
              <w:t xml:space="preserve"> is able to give more attention to the children who need it, improving outcomes for children.</w:t>
            </w:r>
          </w:p>
          <w:p w14:paraId="413CF24E" w14:textId="77777777" w:rsidR="00543E09" w:rsidRDefault="00543E09" w:rsidP="00543E09">
            <w:pPr>
              <w:pStyle w:val="TableRowCentered"/>
              <w:jc w:val="left"/>
              <w:rPr>
                <w:sz w:val="22"/>
              </w:rPr>
            </w:pPr>
          </w:p>
          <w:p w14:paraId="5A285F7E" w14:textId="77777777" w:rsidR="00543E09" w:rsidRPr="00BC66CD" w:rsidRDefault="00543E09" w:rsidP="00543E09">
            <w:pPr>
              <w:pStyle w:val="TableRowCentered"/>
              <w:jc w:val="left"/>
              <w:rPr>
                <w:i/>
                <w:color w:val="365F91" w:themeColor="accent1" w:themeShade="BF"/>
                <w:sz w:val="22"/>
              </w:rPr>
            </w:pPr>
            <w:r w:rsidRPr="00BC66CD">
              <w:rPr>
                <w:i/>
                <w:color w:val="365F91" w:themeColor="accent1" w:themeShade="BF"/>
                <w:sz w:val="22"/>
              </w:rPr>
              <w:t xml:space="preserve">EEF </w:t>
            </w:r>
          </w:p>
          <w:p w14:paraId="59E457B6" w14:textId="77777777" w:rsidR="00543E09" w:rsidRPr="00BC66CD" w:rsidRDefault="00543E09" w:rsidP="00543E09">
            <w:pPr>
              <w:pStyle w:val="TableRowCentered"/>
              <w:jc w:val="left"/>
              <w:rPr>
                <w:i/>
                <w:color w:val="365F91" w:themeColor="accent1" w:themeShade="BF"/>
                <w:sz w:val="22"/>
              </w:rPr>
            </w:pPr>
            <w:r w:rsidRPr="00BC66CD">
              <w:rPr>
                <w:i/>
                <w:color w:val="365F91" w:themeColor="accent1" w:themeShade="BF"/>
                <w:sz w:val="22"/>
              </w:rPr>
              <w:t>“Small group tuition has an average impact of four months’ additional progress over the course of a year.</w:t>
            </w:r>
          </w:p>
          <w:p w14:paraId="2805D362" w14:textId="77777777" w:rsidR="00543E09" w:rsidRPr="00BC66CD" w:rsidRDefault="00543E09" w:rsidP="00543E09">
            <w:pPr>
              <w:pStyle w:val="TableRowCentered"/>
              <w:jc w:val="left"/>
              <w:rPr>
                <w:i/>
                <w:color w:val="365F91" w:themeColor="accent1" w:themeShade="BF"/>
                <w:sz w:val="22"/>
              </w:rPr>
            </w:pPr>
            <w:r w:rsidRPr="00BC66CD">
              <w:rPr>
                <w:i/>
                <w:color w:val="365F91" w:themeColor="accent1" w:themeShade="BF"/>
                <w:sz w:val="22"/>
              </w:rPr>
              <w:t>Small group tuition is most likely to be effective if it is targeted at pupils’ specific needs. Diagnostic assessment can be used to assess the best way to target support.</w:t>
            </w:r>
          </w:p>
          <w:p w14:paraId="028B3085" w14:textId="77777777" w:rsidR="00543E09" w:rsidRPr="00BC66CD" w:rsidRDefault="00543E09" w:rsidP="00543E09">
            <w:pPr>
              <w:pStyle w:val="TableRowCentered"/>
              <w:jc w:val="left"/>
              <w:rPr>
                <w:i/>
                <w:color w:val="365F91" w:themeColor="accent1" w:themeShade="BF"/>
                <w:sz w:val="22"/>
              </w:rPr>
            </w:pPr>
            <w:r w:rsidRPr="00BC66CD">
              <w:rPr>
                <w:i/>
                <w:color w:val="365F91" w:themeColor="accent1" w:themeShade="BF"/>
                <w:sz w:val="22"/>
              </w:rPr>
              <w:t>Additional small group support can be effectively targeted at pupils from disadvantaged backgrounds, and should be considered as part of a school’s pupil’s premium strategy.”</w:t>
            </w:r>
          </w:p>
          <w:p w14:paraId="2A7D552A" w14:textId="77777777" w:rsidR="00543E09" w:rsidRDefault="00543E09" w:rsidP="00543E0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543E09" w:rsidRDefault="00543E09" w:rsidP="00543E09">
            <w:pPr>
              <w:pStyle w:val="TableRowCentered"/>
              <w:jc w:val="left"/>
              <w:rPr>
                <w:sz w:val="22"/>
              </w:rPr>
            </w:pPr>
          </w:p>
        </w:tc>
      </w:tr>
      <w:tr w:rsidR="00543E09"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543E09" w:rsidRDefault="00543E09" w:rsidP="00543E09">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543E09" w:rsidRDefault="00543E09" w:rsidP="00543E0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543E09" w:rsidRDefault="00543E09" w:rsidP="00543E09">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33933E6" w:rsidR="00E66558" w:rsidRDefault="009D71E8">
      <w:pPr>
        <w:spacing w:before="240" w:after="120"/>
      </w:pPr>
      <w:r>
        <w:t xml:space="preserve">Budgeted cost: £ </w:t>
      </w:r>
      <w:r w:rsidR="00754B8A">
        <w:t>89,496</w:t>
      </w:r>
    </w:p>
    <w:tbl>
      <w:tblPr>
        <w:tblW w:w="5000" w:type="pct"/>
        <w:tblCellMar>
          <w:left w:w="10" w:type="dxa"/>
          <w:right w:w="10" w:type="dxa"/>
        </w:tblCellMar>
        <w:tblLook w:val="04A0" w:firstRow="1" w:lastRow="0" w:firstColumn="1" w:lastColumn="0" w:noHBand="0" w:noVBand="1"/>
      </w:tblPr>
      <w:tblGrid>
        <w:gridCol w:w="2660"/>
        <w:gridCol w:w="5295"/>
        <w:gridCol w:w="1531"/>
      </w:tblGrid>
      <w:tr w:rsidR="00E66558" w14:paraId="2A7D5537" w14:textId="77777777" w:rsidTr="00810CB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10CB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F39C" w14:textId="01E80152" w:rsidR="00E66558" w:rsidRDefault="004F1299">
            <w:pPr>
              <w:pStyle w:val="TableRow"/>
              <w:rPr>
                <w:iCs/>
                <w:sz w:val="22"/>
                <w:szCs w:val="22"/>
              </w:rPr>
            </w:pPr>
            <w:r>
              <w:t xml:space="preserve">Attendance officer tracks attendance of PP pupils. </w:t>
            </w:r>
            <w:r w:rsidR="004C6BB4">
              <w:rPr>
                <w:iCs/>
                <w:sz w:val="22"/>
                <w:szCs w:val="22"/>
                <w:highlight w:val="cyan"/>
              </w:rPr>
              <w:t>£10,000</w:t>
            </w:r>
          </w:p>
          <w:p w14:paraId="62743000" w14:textId="7A46AEFA" w:rsidR="007C65D6" w:rsidRDefault="007C65D6" w:rsidP="007C65D6">
            <w:pPr>
              <w:spacing w:before="60" w:after="60" w:line="240" w:lineRule="auto"/>
              <w:ind w:left="57" w:right="57"/>
              <w:rPr>
                <w:sz w:val="22"/>
              </w:rPr>
            </w:pPr>
            <w:r>
              <w:rPr>
                <w:sz w:val="22"/>
              </w:rPr>
              <w:t>Invite parents in to discuss potential barriers with PP lead.</w:t>
            </w:r>
          </w:p>
          <w:p w14:paraId="04B3B040" w14:textId="77777777" w:rsidR="007C65D6" w:rsidRDefault="007C65D6" w:rsidP="007C65D6">
            <w:pPr>
              <w:spacing w:before="60" w:after="60" w:line="240" w:lineRule="auto"/>
              <w:ind w:left="57" w:right="57"/>
              <w:rPr>
                <w:sz w:val="22"/>
              </w:rPr>
            </w:pPr>
          </w:p>
          <w:p w14:paraId="39AFC8EB" w14:textId="199E2167" w:rsidR="007C65D6" w:rsidRPr="007C65D6" w:rsidRDefault="007C65D6" w:rsidP="007C65D6">
            <w:pPr>
              <w:spacing w:before="60" w:after="60" w:line="240" w:lineRule="auto"/>
              <w:ind w:left="57" w:right="57"/>
              <w:rPr>
                <w:sz w:val="22"/>
              </w:rPr>
            </w:pPr>
            <w:r w:rsidRPr="007C65D6">
              <w:rPr>
                <w:sz w:val="22"/>
              </w:rPr>
              <w:t>Purchase of Partnership Learning attendance officer.</w:t>
            </w:r>
          </w:p>
          <w:p w14:paraId="27BBA030" w14:textId="45C571D7" w:rsidR="007C65D6" w:rsidRDefault="007C65D6" w:rsidP="007C65D6">
            <w:pPr>
              <w:spacing w:before="60" w:after="60" w:line="240" w:lineRule="auto"/>
              <w:ind w:left="57" w:right="57"/>
              <w:rPr>
                <w:sz w:val="22"/>
              </w:rPr>
            </w:pPr>
            <w:r w:rsidRPr="007C65D6">
              <w:rPr>
                <w:sz w:val="22"/>
              </w:rPr>
              <w:t xml:space="preserve">(Attendance Officer salary </w:t>
            </w:r>
            <w:r w:rsidRPr="007C65D6">
              <w:rPr>
                <w:sz w:val="22"/>
                <w:highlight w:val="cyan"/>
              </w:rPr>
              <w:t>£5,000)</w:t>
            </w:r>
          </w:p>
          <w:p w14:paraId="42AD1EDF" w14:textId="4F10545D" w:rsidR="007C65D6" w:rsidRDefault="007C65D6" w:rsidP="007C65D6">
            <w:pPr>
              <w:spacing w:before="60" w:after="60" w:line="240" w:lineRule="auto"/>
              <w:ind w:left="57" w:right="57"/>
              <w:rPr>
                <w:sz w:val="22"/>
              </w:rPr>
            </w:pPr>
          </w:p>
          <w:p w14:paraId="1D9342B3" w14:textId="1BADC268" w:rsidR="00E41C68" w:rsidRDefault="007C65D6" w:rsidP="007C65D6">
            <w:pPr>
              <w:spacing w:before="60" w:after="60" w:line="240" w:lineRule="auto"/>
              <w:ind w:left="57" w:right="57"/>
              <w:rPr>
                <w:sz w:val="22"/>
              </w:rPr>
            </w:pPr>
            <w:r>
              <w:rPr>
                <w:sz w:val="22"/>
              </w:rPr>
              <w:t>Free Breakfast for PP pupils</w:t>
            </w:r>
            <w:r w:rsidR="00E41C68">
              <w:rPr>
                <w:sz w:val="22"/>
              </w:rPr>
              <w:t xml:space="preserve">, based on </w:t>
            </w:r>
            <w:r w:rsidR="00E41C68">
              <w:rPr>
                <w:sz w:val="22"/>
              </w:rPr>
              <w:lastRenderedPageBreak/>
              <w:t>average attendance across AUT 1</w:t>
            </w:r>
          </w:p>
          <w:p w14:paraId="40815917" w14:textId="18390763" w:rsidR="007C65D6" w:rsidRPr="007C65D6" w:rsidRDefault="004C6BB4" w:rsidP="007C65D6">
            <w:pPr>
              <w:spacing w:before="60" w:after="60" w:line="240" w:lineRule="auto"/>
              <w:ind w:left="57" w:right="57"/>
              <w:rPr>
                <w:sz w:val="22"/>
              </w:rPr>
            </w:pPr>
            <w:r>
              <w:rPr>
                <w:sz w:val="22"/>
                <w:highlight w:val="cyan"/>
              </w:rPr>
              <w:t>(£10,000</w:t>
            </w:r>
            <w:r w:rsidR="007C65D6" w:rsidRPr="004C6BB4">
              <w:rPr>
                <w:sz w:val="22"/>
                <w:highlight w:val="cyan"/>
              </w:rPr>
              <w:t>)</w:t>
            </w:r>
            <w:r w:rsidR="00E41C68">
              <w:rPr>
                <w:sz w:val="22"/>
              </w:rPr>
              <w:t xml:space="preserve"> per year</w:t>
            </w:r>
          </w:p>
          <w:p w14:paraId="72CF3FB8" w14:textId="77777777" w:rsidR="007C65D6" w:rsidRDefault="007C65D6">
            <w:pPr>
              <w:pStyle w:val="TableRow"/>
              <w:rPr>
                <w:iCs/>
                <w:sz w:val="22"/>
                <w:szCs w:val="22"/>
              </w:rPr>
            </w:pPr>
          </w:p>
          <w:p w14:paraId="2A7D5538" w14:textId="18684296" w:rsidR="007C65D6" w:rsidRDefault="007C65D6">
            <w:pPr>
              <w:pStyle w:val="TableRow"/>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6F9E" w14:textId="77777777" w:rsidR="007C65D6" w:rsidRPr="007C65D6" w:rsidRDefault="007C65D6" w:rsidP="007C65D6">
            <w:pPr>
              <w:widowControl w:val="0"/>
              <w:suppressAutoHyphens w:val="0"/>
              <w:autoSpaceDE w:val="0"/>
              <w:spacing w:before="48" w:after="0" w:line="240" w:lineRule="auto"/>
              <w:ind w:right="85"/>
              <w:rPr>
                <w:rFonts w:eastAsia="Arial" w:cs="Arial"/>
                <w:color w:val="auto"/>
                <w:sz w:val="22"/>
                <w:szCs w:val="22"/>
                <w:lang w:bidi="en-GB"/>
              </w:rPr>
            </w:pPr>
            <w:r w:rsidRPr="007C65D6">
              <w:rPr>
                <w:rFonts w:eastAsia="Arial" w:cs="Arial"/>
                <w:color w:val="auto"/>
                <w:sz w:val="22"/>
                <w:szCs w:val="22"/>
                <w:lang w:bidi="en-GB"/>
              </w:rPr>
              <w:lastRenderedPageBreak/>
              <w:t>Pupils eligible for Pupil Premium have a higher rate of absenteeism than Non-PP children. There is also a higher level of lateness with PP children. The attendance officer has proven to be successful in the past when working with specific families who have dis-engaged with school for various reasons.</w:t>
            </w:r>
          </w:p>
          <w:p w14:paraId="14EFA8DD" w14:textId="617C245E" w:rsidR="007C65D6" w:rsidRDefault="007C65D6" w:rsidP="007C65D6">
            <w:pPr>
              <w:spacing w:before="60" w:after="60" w:line="240" w:lineRule="auto"/>
              <w:ind w:right="57"/>
              <w:rPr>
                <w:sz w:val="22"/>
                <w:szCs w:val="22"/>
              </w:rPr>
            </w:pPr>
            <w:r w:rsidRPr="007C65D6">
              <w:rPr>
                <w:sz w:val="22"/>
                <w:szCs w:val="22"/>
              </w:rPr>
              <w:t>We have found that many PP children come to school without having breakfast due to running late or lack of funds. Offering all children free attendance at the Breakfast Club will help to alleviate this.</w:t>
            </w:r>
          </w:p>
          <w:p w14:paraId="728C1585" w14:textId="77777777" w:rsidR="007C65D6" w:rsidRDefault="007C65D6" w:rsidP="007C65D6">
            <w:pPr>
              <w:spacing w:before="60" w:after="60" w:line="240" w:lineRule="auto"/>
              <w:ind w:right="57"/>
              <w:rPr>
                <w:sz w:val="22"/>
                <w:szCs w:val="22"/>
              </w:rPr>
            </w:pPr>
          </w:p>
          <w:p w14:paraId="0698CEED" w14:textId="7832051B" w:rsidR="007C65D6" w:rsidRPr="007C65D6" w:rsidRDefault="007C65D6" w:rsidP="007C65D6">
            <w:pPr>
              <w:pStyle w:val="TableRowCentered"/>
              <w:jc w:val="left"/>
              <w:rPr>
                <w:i/>
                <w:color w:val="365F91" w:themeColor="accent1" w:themeShade="BF"/>
                <w:sz w:val="22"/>
              </w:rPr>
            </w:pPr>
            <w:r w:rsidRPr="00850006">
              <w:rPr>
                <w:i/>
                <w:color w:val="365F91" w:themeColor="accent1" w:themeShade="BF"/>
                <w:sz w:val="22"/>
              </w:rPr>
              <w:t>EEF guidance</w:t>
            </w:r>
          </w:p>
          <w:p w14:paraId="2A7D5539" w14:textId="19F70BFF" w:rsidR="00E66558" w:rsidRDefault="007C65D6">
            <w:pPr>
              <w:pStyle w:val="TableRowCentered"/>
              <w:jc w:val="left"/>
              <w:rPr>
                <w:sz w:val="22"/>
              </w:rPr>
            </w:pPr>
            <w:r w:rsidRPr="00850006">
              <w:rPr>
                <w:i/>
                <w:color w:val="365F91" w:themeColor="accent1" w:themeShade="BF"/>
                <w:sz w:val="22"/>
              </w:rPr>
              <w:t>“Our own research shows that 93% of schools see an increase in concentration and energy amongst children attending our breakfast clubs.”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4F1299" w14:paraId="2A7D553F" w14:textId="77777777" w:rsidTr="00810CB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9C69" w14:textId="77777777" w:rsidR="004F1299" w:rsidRDefault="004F1299" w:rsidP="004F1299">
            <w:pPr>
              <w:pStyle w:val="TableRow"/>
              <w:rPr>
                <w:iCs/>
                <w:sz w:val="22"/>
                <w:szCs w:val="22"/>
              </w:rPr>
            </w:pPr>
            <w:r w:rsidRPr="00490629">
              <w:rPr>
                <w:iCs/>
                <w:sz w:val="22"/>
                <w:szCs w:val="22"/>
              </w:rPr>
              <w:lastRenderedPageBreak/>
              <w:t xml:space="preserve">All pupils eligible for Pupil Premium are offered the chance to learn an instrument in school. </w:t>
            </w:r>
          </w:p>
          <w:p w14:paraId="2A7D553C" w14:textId="2588A76C" w:rsidR="004F1299" w:rsidRDefault="004C6BB4" w:rsidP="004C6BB4">
            <w:pPr>
              <w:pStyle w:val="TableRow"/>
              <w:rPr>
                <w:i/>
                <w:sz w:val="22"/>
              </w:rPr>
            </w:pPr>
            <w:r>
              <w:rPr>
                <w:iCs/>
                <w:sz w:val="22"/>
                <w:szCs w:val="22"/>
                <w:highlight w:val="cyan"/>
              </w:rPr>
              <w:t>£10,000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0E6A4" w14:textId="2305F836" w:rsidR="004F1299" w:rsidRDefault="004F1299" w:rsidP="004F1299">
            <w:pPr>
              <w:pStyle w:val="TableRowCentered"/>
              <w:jc w:val="left"/>
              <w:rPr>
                <w:sz w:val="22"/>
              </w:rPr>
            </w:pPr>
            <w:r>
              <w:rPr>
                <w:sz w:val="22"/>
              </w:rPr>
              <w:t>EEF</w:t>
            </w:r>
            <w:r w:rsidR="007C65D6">
              <w:rPr>
                <w:sz w:val="22"/>
              </w:rPr>
              <w:t xml:space="preserve"> guidance</w:t>
            </w:r>
          </w:p>
          <w:p w14:paraId="2A7D553D" w14:textId="68ECCCE2" w:rsidR="004F1299" w:rsidRDefault="004F1299" w:rsidP="004F1299">
            <w:pPr>
              <w:pStyle w:val="TableRowCentered"/>
              <w:jc w:val="left"/>
              <w:rPr>
                <w:sz w:val="22"/>
              </w:rPr>
            </w:pPr>
            <w:r w:rsidRPr="00F2504F">
              <w:rPr>
                <w:i/>
                <w:sz w:val="22"/>
              </w:rPr>
              <w:t>“Improved outcomes have been identified in English, mathematics and science. Wider benefits such as more positive attitudes to learning and increased well-being have also consistently been reported.”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4F1299" w:rsidRDefault="004F1299" w:rsidP="004F1299">
            <w:pPr>
              <w:pStyle w:val="TableRowCentered"/>
              <w:jc w:val="left"/>
              <w:rPr>
                <w:sz w:val="22"/>
              </w:rPr>
            </w:pPr>
          </w:p>
        </w:tc>
      </w:tr>
      <w:tr w:rsidR="004F1299" w14:paraId="4ECA20C9" w14:textId="77777777" w:rsidTr="00810CB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7D34" w14:textId="2530B588" w:rsidR="004F1299" w:rsidRPr="004F1299" w:rsidRDefault="004F1299" w:rsidP="004F1299">
            <w:pPr>
              <w:pStyle w:val="TableRow"/>
              <w:rPr>
                <w:iCs/>
                <w:sz w:val="22"/>
                <w:szCs w:val="22"/>
              </w:rPr>
            </w:pPr>
            <w:r w:rsidRPr="004F1299">
              <w:rPr>
                <w:iCs/>
                <w:sz w:val="22"/>
                <w:szCs w:val="22"/>
              </w:rPr>
              <w:t xml:space="preserve">Lunchtime </w:t>
            </w:r>
            <w:r>
              <w:rPr>
                <w:iCs/>
                <w:sz w:val="22"/>
                <w:szCs w:val="22"/>
              </w:rPr>
              <w:t xml:space="preserve">small </w:t>
            </w:r>
            <w:r w:rsidR="00DB5B15">
              <w:rPr>
                <w:iCs/>
                <w:sz w:val="22"/>
                <w:szCs w:val="22"/>
              </w:rPr>
              <w:t>nurture groups</w:t>
            </w:r>
            <w:r w:rsidRPr="004C6BB4">
              <w:rPr>
                <w:iCs/>
                <w:sz w:val="22"/>
                <w:szCs w:val="22"/>
              </w:rPr>
              <w:t xml:space="preserve">. </w:t>
            </w:r>
            <w:r w:rsidRPr="004C6BB4">
              <w:rPr>
                <w:iCs/>
                <w:sz w:val="22"/>
                <w:szCs w:val="22"/>
                <w:highlight w:val="cyan"/>
              </w:rPr>
              <w:t>(£</w:t>
            </w:r>
            <w:r w:rsidR="004C6BB4" w:rsidRPr="004C6BB4">
              <w:rPr>
                <w:iCs/>
                <w:sz w:val="22"/>
                <w:szCs w:val="22"/>
                <w:highlight w:val="cyan"/>
              </w:rPr>
              <w:t>200</w:t>
            </w:r>
            <w:r w:rsidRPr="004C6BB4">
              <w:rPr>
                <w:iCs/>
                <w:sz w:val="22"/>
                <w:szCs w:val="22"/>
                <w:highlight w:val="cyan"/>
              </w:rPr>
              <w:t>)</w:t>
            </w:r>
          </w:p>
          <w:p w14:paraId="503A1AEE" w14:textId="77777777" w:rsidR="004F1299" w:rsidRDefault="004F1299" w:rsidP="004F1299">
            <w:pPr>
              <w:pStyle w:val="TableRow"/>
              <w:rPr>
                <w:iCs/>
                <w:sz w:val="22"/>
                <w:szCs w:val="22"/>
              </w:rPr>
            </w:pPr>
          </w:p>
          <w:p w14:paraId="7F0328C7" w14:textId="6EBFDAEE" w:rsidR="004F1299" w:rsidRDefault="00DB5B15" w:rsidP="004F1299">
            <w:pPr>
              <w:pStyle w:val="TableRow"/>
              <w:rPr>
                <w:iCs/>
                <w:sz w:val="22"/>
                <w:szCs w:val="22"/>
              </w:rPr>
            </w:pPr>
            <w:r>
              <w:rPr>
                <w:iCs/>
                <w:sz w:val="22"/>
                <w:szCs w:val="22"/>
              </w:rPr>
              <w:t>Counselling S</w:t>
            </w:r>
            <w:r w:rsidR="004F1299" w:rsidRPr="004F1299">
              <w:rPr>
                <w:iCs/>
                <w:sz w:val="22"/>
                <w:szCs w:val="22"/>
              </w:rPr>
              <w:t xml:space="preserve">upport </w:t>
            </w:r>
            <w:r w:rsidR="004C6BB4">
              <w:rPr>
                <w:iCs/>
                <w:sz w:val="22"/>
                <w:szCs w:val="22"/>
              </w:rPr>
              <w:t xml:space="preserve">Service </w:t>
            </w:r>
            <w:r w:rsidR="004F1299" w:rsidRPr="004F1299">
              <w:rPr>
                <w:iCs/>
                <w:sz w:val="22"/>
                <w:szCs w:val="22"/>
              </w:rPr>
              <w:t xml:space="preserve">through 1:1 meetings </w:t>
            </w:r>
          </w:p>
          <w:p w14:paraId="07659805" w14:textId="7A5FFA8F" w:rsidR="004F1299" w:rsidRPr="004C6BB4" w:rsidRDefault="004C6BB4" w:rsidP="004F1299">
            <w:pPr>
              <w:pStyle w:val="TableRow"/>
              <w:rPr>
                <w:iCs/>
                <w:sz w:val="22"/>
                <w:szCs w:val="22"/>
              </w:rPr>
            </w:pPr>
            <w:proofErr w:type="gramStart"/>
            <w:r w:rsidRPr="004C6BB4">
              <w:rPr>
                <w:iCs/>
                <w:sz w:val="22"/>
                <w:szCs w:val="22"/>
              </w:rPr>
              <w:t>9 month</w:t>
            </w:r>
            <w:proofErr w:type="gramEnd"/>
            <w:r w:rsidRPr="004C6BB4">
              <w:rPr>
                <w:iCs/>
                <w:sz w:val="22"/>
                <w:szCs w:val="22"/>
              </w:rPr>
              <w:t xml:space="preserve"> contract</w:t>
            </w:r>
          </w:p>
          <w:p w14:paraId="4F1C2E3E" w14:textId="6CECBCAD" w:rsidR="004C6BB4" w:rsidRPr="004F1299" w:rsidRDefault="004C6BB4" w:rsidP="004F1299">
            <w:pPr>
              <w:pStyle w:val="TableRow"/>
              <w:rPr>
                <w:iCs/>
                <w:sz w:val="22"/>
                <w:szCs w:val="22"/>
              </w:rPr>
            </w:pPr>
            <w:r w:rsidRPr="004C6BB4">
              <w:rPr>
                <w:iCs/>
                <w:sz w:val="22"/>
                <w:szCs w:val="22"/>
              </w:rPr>
              <w:t xml:space="preserve">432 </w:t>
            </w:r>
            <w:proofErr w:type="gramStart"/>
            <w:r w:rsidRPr="004C6BB4">
              <w:rPr>
                <w:iCs/>
                <w:sz w:val="22"/>
                <w:szCs w:val="22"/>
              </w:rPr>
              <w:t>sessions</w:t>
            </w:r>
            <w:r>
              <w:rPr>
                <w:iCs/>
                <w:sz w:val="22"/>
                <w:szCs w:val="22"/>
              </w:rPr>
              <w:t xml:space="preserve">  </w:t>
            </w:r>
            <w:r w:rsidRPr="004C6BB4">
              <w:rPr>
                <w:iCs/>
                <w:sz w:val="22"/>
                <w:szCs w:val="22"/>
                <w:highlight w:val="cyan"/>
              </w:rPr>
              <w:t>£</w:t>
            </w:r>
            <w:proofErr w:type="gramEnd"/>
            <w:r w:rsidRPr="004C6BB4">
              <w:rPr>
                <w:iCs/>
                <w:sz w:val="22"/>
                <w:szCs w:val="22"/>
                <w:highlight w:val="cyan"/>
              </w:rPr>
              <w:t>3420.00</w:t>
            </w:r>
          </w:p>
          <w:p w14:paraId="01B84F0D" w14:textId="2CCE3CE7" w:rsidR="004F1299" w:rsidRPr="00490629" w:rsidRDefault="004F1299" w:rsidP="004F1299">
            <w:pPr>
              <w:pStyle w:val="TableRow"/>
              <w:rPr>
                <w:iCs/>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EC3D" w14:textId="77777777" w:rsidR="004F1299" w:rsidRDefault="004F1299" w:rsidP="004F1299">
            <w:pPr>
              <w:pStyle w:val="TableRowCentered"/>
              <w:jc w:val="left"/>
              <w:rPr>
                <w:sz w:val="22"/>
              </w:rPr>
            </w:pPr>
            <w:r w:rsidRPr="004F1299">
              <w:rPr>
                <w:sz w:val="22"/>
              </w:rPr>
              <w:t>Vulnerable children have a safe place to discuss their emotions and feelings. Strategies are given to these children to help them concentrate in class and they are better able to cope with how they are feeling. The children are emotionally and socially able to access all aspects of the curriculum.</w:t>
            </w:r>
          </w:p>
          <w:p w14:paraId="635CF05A" w14:textId="77777777" w:rsidR="004F1299" w:rsidRDefault="004F1299" w:rsidP="004F1299">
            <w:pPr>
              <w:pStyle w:val="TableRowCentered"/>
              <w:jc w:val="left"/>
              <w:rPr>
                <w:sz w:val="22"/>
              </w:rPr>
            </w:pPr>
          </w:p>
          <w:p w14:paraId="63590967" w14:textId="58F475A4" w:rsidR="004F1299" w:rsidRPr="004F1299" w:rsidRDefault="004F1299" w:rsidP="004F1299">
            <w:pPr>
              <w:pStyle w:val="TableRowCentered"/>
              <w:jc w:val="left"/>
              <w:rPr>
                <w:color w:val="365F91" w:themeColor="accent1" w:themeShade="BF"/>
                <w:sz w:val="22"/>
              </w:rPr>
            </w:pPr>
            <w:r w:rsidRPr="004F1299">
              <w:rPr>
                <w:color w:val="365F91" w:themeColor="accent1" w:themeShade="BF"/>
                <w:sz w:val="22"/>
              </w:rPr>
              <w:t>EEF</w:t>
            </w:r>
            <w:r w:rsidR="00463BF5">
              <w:rPr>
                <w:color w:val="365F91" w:themeColor="accent1" w:themeShade="BF"/>
                <w:sz w:val="22"/>
              </w:rPr>
              <w:t xml:space="preserve"> Guidance</w:t>
            </w:r>
          </w:p>
          <w:p w14:paraId="69CA9B71" w14:textId="77777777" w:rsidR="004F1299" w:rsidRPr="004F1299" w:rsidRDefault="004F1299" w:rsidP="004F1299">
            <w:pPr>
              <w:pStyle w:val="TableRowCentered"/>
              <w:jc w:val="left"/>
              <w:rPr>
                <w:color w:val="365F91" w:themeColor="accent1" w:themeShade="BF"/>
                <w:sz w:val="22"/>
              </w:rPr>
            </w:pPr>
            <w:r w:rsidRPr="004F1299">
              <w:rPr>
                <w:i/>
                <w:color w:val="365F91" w:themeColor="accent1" w:themeShade="BF"/>
                <w:sz w:val="22"/>
              </w:rPr>
              <w:t>“Both targeted interventions and universal approaches have positive overall effects (+4</w:t>
            </w:r>
            <w:r w:rsidRPr="004F1299">
              <w:rPr>
                <w:color w:val="365F91" w:themeColor="accent1" w:themeShade="BF"/>
                <w:sz w:val="22"/>
              </w:rPr>
              <w:t xml:space="preserve"> </w:t>
            </w:r>
            <w:r w:rsidRPr="004F1299">
              <w:rPr>
                <w:i/>
                <w:color w:val="365F91" w:themeColor="accent1" w:themeShade="BF"/>
                <w:sz w:val="22"/>
              </w:rPr>
              <w:t>months). Schools should consider the appropriate combination of behaviour approaches to reduce overall disruption and provide tailored support where required.”</w:t>
            </w:r>
          </w:p>
          <w:p w14:paraId="16BD456C" w14:textId="2A92F8BB" w:rsidR="004F1299" w:rsidRDefault="004F1299" w:rsidP="004F1299">
            <w:pPr>
              <w:pStyle w:val="TableRowCentered"/>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D57" w14:textId="77777777" w:rsidR="004F1299" w:rsidRDefault="004F1299" w:rsidP="004F1299">
            <w:pPr>
              <w:pStyle w:val="TableRowCentered"/>
              <w:jc w:val="left"/>
              <w:rPr>
                <w:sz w:val="22"/>
              </w:rPr>
            </w:pPr>
          </w:p>
        </w:tc>
      </w:tr>
      <w:tr w:rsidR="00850006" w14:paraId="71E82A48" w14:textId="77777777" w:rsidTr="00810CB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D107" w14:textId="19286C43" w:rsidR="00850006" w:rsidRPr="00850006" w:rsidRDefault="00850006" w:rsidP="00850006">
            <w:pPr>
              <w:spacing w:before="60" w:after="60" w:line="240" w:lineRule="auto"/>
              <w:ind w:left="57" w:right="57"/>
              <w:rPr>
                <w:sz w:val="22"/>
              </w:rPr>
            </w:pPr>
            <w:r w:rsidRPr="00850006">
              <w:rPr>
                <w:sz w:val="22"/>
              </w:rPr>
              <w:t>Pupils eligible for Pupil Premium receive help for school uniform and trips to ensure that all children have access to enrichment activities. (£50 per child for uniform and £50 for trips</w:t>
            </w:r>
            <w:r w:rsidR="004C6BB4">
              <w:rPr>
                <w:sz w:val="22"/>
              </w:rPr>
              <w:t>)</w:t>
            </w:r>
            <w:r w:rsidRPr="00850006">
              <w:rPr>
                <w:sz w:val="22"/>
              </w:rPr>
              <w:t xml:space="preserve"> </w:t>
            </w:r>
            <w:r w:rsidR="004C6BB4" w:rsidRPr="004C6BB4">
              <w:rPr>
                <w:sz w:val="22"/>
                <w:highlight w:val="cyan"/>
              </w:rPr>
              <w:t>£15,600.00</w:t>
            </w:r>
          </w:p>
          <w:p w14:paraId="0006E179" w14:textId="453E0906" w:rsidR="00850006" w:rsidRPr="00850006" w:rsidRDefault="00850006" w:rsidP="00850006">
            <w:pPr>
              <w:spacing w:before="60" w:after="60" w:line="240" w:lineRule="auto"/>
              <w:ind w:left="57" w:right="57"/>
              <w:rPr>
                <w:sz w:val="22"/>
              </w:rPr>
            </w:pPr>
            <w:r w:rsidRPr="00850006">
              <w:rPr>
                <w:sz w:val="22"/>
              </w:rPr>
              <w:t xml:space="preserve">Pupils eligible for Pupil Premium receive discount towards the Year 6 residential. </w:t>
            </w:r>
            <w:r>
              <w:rPr>
                <w:sz w:val="22"/>
              </w:rPr>
              <w:t xml:space="preserve">(Cost £74 per pupil, 34 PP pupils in Year 6 </w:t>
            </w:r>
            <w:r w:rsidRPr="004C6BB4">
              <w:rPr>
                <w:sz w:val="22"/>
                <w:highlight w:val="cyan"/>
              </w:rPr>
              <w:t>£2,516.00)</w:t>
            </w:r>
          </w:p>
          <w:p w14:paraId="195383AE" w14:textId="1B098618" w:rsidR="00850006" w:rsidRPr="004F1299" w:rsidRDefault="00850006" w:rsidP="00850006">
            <w:pPr>
              <w:pStyle w:val="TableRow"/>
              <w:rPr>
                <w:iCs/>
                <w:sz w:val="22"/>
                <w:szCs w:val="22"/>
              </w:rPr>
            </w:pPr>
            <w:r w:rsidRPr="00850006">
              <w:rPr>
                <w:sz w:val="22"/>
              </w:rPr>
              <w:t>Pupils eligible f</w:t>
            </w:r>
            <w:r>
              <w:rPr>
                <w:sz w:val="22"/>
              </w:rPr>
              <w:t xml:space="preserve">or Pupil Premium are </w:t>
            </w:r>
            <w:proofErr w:type="gramStart"/>
            <w:r>
              <w:rPr>
                <w:sz w:val="22"/>
              </w:rPr>
              <w:t xml:space="preserve">offered </w:t>
            </w:r>
            <w:r w:rsidRPr="00850006">
              <w:rPr>
                <w:sz w:val="22"/>
              </w:rPr>
              <w:t xml:space="preserve"> free</w:t>
            </w:r>
            <w:proofErr w:type="gramEnd"/>
            <w:r w:rsidRPr="00850006">
              <w:rPr>
                <w:sz w:val="22"/>
              </w:rPr>
              <w:t xml:space="preserve"> after school club a week. (£3.50 per child per week – </w:t>
            </w:r>
            <w:r w:rsidR="004C6BB4">
              <w:rPr>
                <w:sz w:val="22"/>
                <w:highlight w:val="cyan"/>
              </w:rPr>
              <w:t>£32,760</w:t>
            </w:r>
            <w:r w:rsidRPr="004C6BB4">
              <w:rPr>
                <w:sz w:val="22"/>
                <w:highlight w:val="cyan"/>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E92B5" w14:textId="77777777" w:rsidR="00850006" w:rsidRPr="00850006" w:rsidRDefault="00850006" w:rsidP="00850006">
            <w:pPr>
              <w:widowControl w:val="0"/>
              <w:suppressAutoHyphens w:val="0"/>
              <w:autoSpaceDE w:val="0"/>
              <w:spacing w:before="48" w:after="0" w:line="240" w:lineRule="auto"/>
              <w:ind w:right="85"/>
              <w:rPr>
                <w:rFonts w:eastAsia="Arial" w:cs="Arial"/>
                <w:color w:val="auto"/>
                <w:sz w:val="22"/>
                <w:szCs w:val="22"/>
                <w:lang w:bidi="en-GB"/>
              </w:rPr>
            </w:pPr>
            <w:r w:rsidRPr="00850006">
              <w:rPr>
                <w:rFonts w:eastAsia="Arial" w:cs="Arial"/>
                <w:color w:val="auto"/>
                <w:sz w:val="22"/>
                <w:szCs w:val="22"/>
                <w:lang w:bidi="en-GB"/>
              </w:rPr>
              <w:t>Pupil Premium children often have limited experiences outside of school which can hinder achievements, if not at the present then in the future, as they do not have the experience to call upon to support them or the exposure to an experience to allow them to aim for it.  Children often follow in the footsteps of parents and therefore wider experiences need to be provided to allow a full choice for all children.</w:t>
            </w:r>
          </w:p>
          <w:p w14:paraId="066F0E29" w14:textId="77777777" w:rsidR="00850006" w:rsidRPr="00850006" w:rsidRDefault="00850006" w:rsidP="00850006">
            <w:pPr>
              <w:widowControl w:val="0"/>
              <w:suppressAutoHyphens w:val="0"/>
              <w:autoSpaceDE w:val="0"/>
              <w:spacing w:before="48" w:after="0" w:line="240" w:lineRule="auto"/>
              <w:ind w:right="85"/>
              <w:rPr>
                <w:rFonts w:eastAsia="Arial" w:cs="Arial"/>
                <w:color w:val="auto"/>
                <w:sz w:val="22"/>
                <w:szCs w:val="22"/>
                <w:lang w:bidi="en-GB"/>
              </w:rPr>
            </w:pPr>
          </w:p>
          <w:p w14:paraId="33EF6721" w14:textId="6D7EFDA7" w:rsidR="00850006" w:rsidRPr="004F1299" w:rsidRDefault="00850006" w:rsidP="00850006">
            <w:pPr>
              <w:pStyle w:val="TableRowCentered"/>
              <w:jc w:val="left"/>
              <w:rPr>
                <w:sz w:val="22"/>
              </w:rPr>
            </w:pPr>
            <w:r w:rsidRPr="00850006">
              <w:rPr>
                <w:szCs w:val="24"/>
              </w:rPr>
              <w:t>We want to ensure that all children are getting access to all areas of the curriculum, including after school clubs.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2A52" w14:textId="77777777" w:rsidR="00850006" w:rsidRDefault="00850006" w:rsidP="004F1299">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4AD320B" w:rsidR="00E66558" w:rsidRDefault="009D71E8" w:rsidP="00120AB1">
      <w:r>
        <w:rPr>
          <w:b/>
          <w:bCs/>
          <w:color w:val="104F75"/>
          <w:sz w:val="28"/>
          <w:szCs w:val="28"/>
        </w:rPr>
        <w:t xml:space="preserve">Total budgeted cost: £ </w:t>
      </w:r>
      <w:r w:rsidR="00754B8A">
        <w:rPr>
          <w:b/>
          <w:bCs/>
          <w:color w:val="104F75"/>
          <w:sz w:val="28"/>
          <w:szCs w:val="28"/>
        </w:rPr>
        <w:t>224,830.20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622"/>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406" w:type="dxa"/>
              <w:tblLook w:val="04A0" w:firstRow="1" w:lastRow="0" w:firstColumn="1" w:lastColumn="0" w:noHBand="0" w:noVBand="1"/>
            </w:tblPr>
            <w:tblGrid>
              <w:gridCol w:w="2312"/>
              <w:gridCol w:w="490"/>
              <w:gridCol w:w="824"/>
              <w:gridCol w:w="826"/>
              <w:gridCol w:w="824"/>
              <w:gridCol w:w="826"/>
              <w:gridCol w:w="824"/>
              <w:gridCol w:w="826"/>
              <w:gridCol w:w="824"/>
              <w:gridCol w:w="830"/>
            </w:tblGrid>
            <w:tr w:rsidR="00540743" w:rsidRPr="00540743" w14:paraId="34F8E759" w14:textId="77777777" w:rsidTr="00540743">
              <w:trPr>
                <w:trHeight w:val="256"/>
              </w:trPr>
              <w:tc>
                <w:tcPr>
                  <w:tcW w:w="2393" w:type="dxa"/>
                  <w:vMerge w:val="restart"/>
                  <w:tcBorders>
                    <w:top w:val="nil"/>
                    <w:left w:val="nil"/>
                    <w:bottom w:val="nil"/>
                    <w:right w:val="nil"/>
                  </w:tcBorders>
                  <w:shd w:val="clear" w:color="000000" w:fill="F1F1F1"/>
                  <w:vAlign w:val="center"/>
                  <w:hideMark/>
                </w:tcPr>
                <w:p w14:paraId="4552BD95"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7013" w:type="dxa"/>
                  <w:gridSpan w:val="9"/>
                  <w:tcBorders>
                    <w:top w:val="nil"/>
                    <w:left w:val="nil"/>
                    <w:bottom w:val="nil"/>
                    <w:right w:val="nil"/>
                  </w:tcBorders>
                  <w:shd w:val="clear" w:color="000000" w:fill="F1F1F1"/>
                  <w:vAlign w:val="center"/>
                  <w:hideMark/>
                </w:tcPr>
                <w:p w14:paraId="123FCF1B"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Whole school</w:t>
                  </w:r>
                </w:p>
              </w:tc>
            </w:tr>
            <w:tr w:rsidR="00540743" w:rsidRPr="00540743" w14:paraId="18F8416D" w14:textId="77777777" w:rsidTr="00540743">
              <w:trPr>
                <w:trHeight w:val="256"/>
              </w:trPr>
              <w:tc>
                <w:tcPr>
                  <w:tcW w:w="2393" w:type="dxa"/>
                  <w:vMerge/>
                  <w:tcBorders>
                    <w:top w:val="nil"/>
                    <w:left w:val="nil"/>
                    <w:bottom w:val="nil"/>
                    <w:right w:val="nil"/>
                  </w:tcBorders>
                  <w:vAlign w:val="center"/>
                  <w:hideMark/>
                </w:tcPr>
                <w:p w14:paraId="4BCFFF13"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p>
              </w:tc>
              <w:tc>
                <w:tcPr>
                  <w:tcW w:w="7013" w:type="dxa"/>
                  <w:gridSpan w:val="9"/>
                  <w:tcBorders>
                    <w:top w:val="nil"/>
                    <w:left w:val="nil"/>
                    <w:bottom w:val="nil"/>
                    <w:right w:val="nil"/>
                  </w:tcBorders>
                  <w:shd w:val="clear" w:color="000000" w:fill="F1F1F1"/>
                  <w:vAlign w:val="center"/>
                  <w:hideMark/>
                </w:tcPr>
                <w:p w14:paraId="05794928"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r>
            <w:tr w:rsidR="00540743" w:rsidRPr="00540743" w14:paraId="705606CF" w14:textId="77777777" w:rsidTr="00540743">
              <w:trPr>
                <w:trHeight w:val="256"/>
              </w:trPr>
              <w:tc>
                <w:tcPr>
                  <w:tcW w:w="2393" w:type="dxa"/>
                  <w:tcBorders>
                    <w:top w:val="nil"/>
                    <w:left w:val="nil"/>
                    <w:bottom w:val="nil"/>
                    <w:right w:val="nil"/>
                  </w:tcBorders>
                  <w:shd w:val="clear" w:color="000000" w:fill="F1F1F1"/>
                  <w:vAlign w:val="center"/>
                  <w:hideMark/>
                </w:tcPr>
                <w:p w14:paraId="06F2A76D"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389" w:type="dxa"/>
                  <w:tcBorders>
                    <w:top w:val="nil"/>
                    <w:left w:val="nil"/>
                    <w:bottom w:val="nil"/>
                    <w:right w:val="nil"/>
                  </w:tcBorders>
                  <w:shd w:val="clear" w:color="000000" w:fill="F1F1F1"/>
                  <w:vAlign w:val="center"/>
                  <w:hideMark/>
                </w:tcPr>
                <w:p w14:paraId="260DB640"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1655" w:type="dxa"/>
                  <w:gridSpan w:val="2"/>
                  <w:tcBorders>
                    <w:top w:val="nil"/>
                    <w:left w:val="nil"/>
                    <w:bottom w:val="nil"/>
                    <w:right w:val="nil"/>
                  </w:tcBorders>
                  <w:shd w:val="clear" w:color="000000" w:fill="F1F1F1"/>
                  <w:vAlign w:val="center"/>
                  <w:hideMark/>
                </w:tcPr>
                <w:p w14:paraId="77156AD2"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NC Maths</w:t>
                  </w:r>
                </w:p>
              </w:tc>
              <w:tc>
                <w:tcPr>
                  <w:tcW w:w="1655" w:type="dxa"/>
                  <w:gridSpan w:val="2"/>
                  <w:tcBorders>
                    <w:top w:val="nil"/>
                    <w:left w:val="nil"/>
                    <w:bottom w:val="nil"/>
                    <w:right w:val="nil"/>
                  </w:tcBorders>
                  <w:shd w:val="clear" w:color="000000" w:fill="F1F1F1"/>
                  <w:vAlign w:val="center"/>
                  <w:hideMark/>
                </w:tcPr>
                <w:p w14:paraId="0BAFF5A0"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xml:space="preserve">NC Writing </w:t>
                  </w:r>
                </w:p>
              </w:tc>
              <w:tc>
                <w:tcPr>
                  <w:tcW w:w="1655" w:type="dxa"/>
                  <w:gridSpan w:val="2"/>
                  <w:tcBorders>
                    <w:top w:val="nil"/>
                    <w:left w:val="nil"/>
                    <w:bottom w:val="nil"/>
                    <w:right w:val="nil"/>
                  </w:tcBorders>
                  <w:shd w:val="clear" w:color="000000" w:fill="F1F1F1"/>
                  <w:vAlign w:val="center"/>
                  <w:hideMark/>
                </w:tcPr>
                <w:p w14:paraId="786EAE00"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NC Reading</w:t>
                  </w:r>
                </w:p>
              </w:tc>
              <w:tc>
                <w:tcPr>
                  <w:tcW w:w="1655" w:type="dxa"/>
                  <w:gridSpan w:val="2"/>
                  <w:tcBorders>
                    <w:top w:val="nil"/>
                    <w:left w:val="nil"/>
                    <w:bottom w:val="nil"/>
                    <w:right w:val="nil"/>
                  </w:tcBorders>
                  <w:shd w:val="clear" w:color="000000" w:fill="F1F1F1"/>
                  <w:vAlign w:val="center"/>
                  <w:hideMark/>
                </w:tcPr>
                <w:p w14:paraId="49161CA7"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NC SPAG</w:t>
                  </w:r>
                </w:p>
              </w:tc>
            </w:tr>
            <w:tr w:rsidR="00540743" w:rsidRPr="00540743" w14:paraId="60AB1268" w14:textId="77777777" w:rsidTr="00540743">
              <w:trPr>
                <w:trHeight w:val="512"/>
              </w:trPr>
              <w:tc>
                <w:tcPr>
                  <w:tcW w:w="2393" w:type="dxa"/>
                  <w:vMerge w:val="restart"/>
                  <w:tcBorders>
                    <w:top w:val="nil"/>
                    <w:left w:val="nil"/>
                    <w:bottom w:val="nil"/>
                    <w:right w:val="nil"/>
                  </w:tcBorders>
                  <w:shd w:val="clear" w:color="000000" w:fill="F1F1F1"/>
                  <w:vAlign w:val="center"/>
                  <w:hideMark/>
                </w:tcPr>
                <w:p w14:paraId="2F5032BB"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389" w:type="dxa"/>
                  <w:vMerge w:val="restart"/>
                  <w:tcBorders>
                    <w:top w:val="nil"/>
                    <w:left w:val="nil"/>
                    <w:bottom w:val="nil"/>
                    <w:right w:val="nil"/>
                  </w:tcBorders>
                  <w:shd w:val="clear" w:color="000000" w:fill="F1F1F1"/>
                  <w:vAlign w:val="center"/>
                  <w:hideMark/>
                </w:tcPr>
                <w:p w14:paraId="32B6E968"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7" w:type="dxa"/>
                  <w:tcBorders>
                    <w:top w:val="nil"/>
                    <w:left w:val="nil"/>
                    <w:bottom w:val="nil"/>
                    <w:right w:val="nil"/>
                  </w:tcBorders>
                  <w:shd w:val="clear" w:color="000000" w:fill="8EC953"/>
                  <w:vAlign w:val="center"/>
                  <w:hideMark/>
                </w:tcPr>
                <w:p w14:paraId="2E24FA79"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Expected &amp; above</w:t>
                  </w:r>
                </w:p>
              </w:tc>
              <w:tc>
                <w:tcPr>
                  <w:tcW w:w="828" w:type="dxa"/>
                  <w:tcBorders>
                    <w:top w:val="nil"/>
                    <w:left w:val="nil"/>
                    <w:bottom w:val="nil"/>
                    <w:right w:val="nil"/>
                  </w:tcBorders>
                  <w:shd w:val="clear" w:color="000000" w:fill="65ABDA"/>
                  <w:vAlign w:val="center"/>
                  <w:hideMark/>
                </w:tcPr>
                <w:p w14:paraId="5BA9B691"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Greater depth</w:t>
                  </w:r>
                </w:p>
              </w:tc>
              <w:tc>
                <w:tcPr>
                  <w:tcW w:w="827" w:type="dxa"/>
                  <w:tcBorders>
                    <w:top w:val="nil"/>
                    <w:left w:val="nil"/>
                    <w:bottom w:val="nil"/>
                    <w:right w:val="nil"/>
                  </w:tcBorders>
                  <w:shd w:val="clear" w:color="000000" w:fill="8EC953"/>
                  <w:vAlign w:val="center"/>
                  <w:hideMark/>
                </w:tcPr>
                <w:p w14:paraId="18CDC4E0"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Expected &amp; above</w:t>
                  </w:r>
                </w:p>
              </w:tc>
              <w:tc>
                <w:tcPr>
                  <w:tcW w:w="828" w:type="dxa"/>
                  <w:tcBorders>
                    <w:top w:val="nil"/>
                    <w:left w:val="nil"/>
                    <w:bottom w:val="nil"/>
                    <w:right w:val="nil"/>
                  </w:tcBorders>
                  <w:shd w:val="clear" w:color="000000" w:fill="65ABDA"/>
                  <w:vAlign w:val="center"/>
                  <w:hideMark/>
                </w:tcPr>
                <w:p w14:paraId="290683F1"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Greater depth</w:t>
                  </w:r>
                </w:p>
              </w:tc>
              <w:tc>
                <w:tcPr>
                  <w:tcW w:w="827" w:type="dxa"/>
                  <w:tcBorders>
                    <w:top w:val="nil"/>
                    <w:left w:val="nil"/>
                    <w:bottom w:val="nil"/>
                    <w:right w:val="nil"/>
                  </w:tcBorders>
                  <w:shd w:val="clear" w:color="000000" w:fill="8EC953"/>
                  <w:vAlign w:val="center"/>
                  <w:hideMark/>
                </w:tcPr>
                <w:p w14:paraId="7A0081B9"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Expected &amp; above</w:t>
                  </w:r>
                </w:p>
              </w:tc>
              <w:tc>
                <w:tcPr>
                  <w:tcW w:w="828" w:type="dxa"/>
                  <w:tcBorders>
                    <w:top w:val="nil"/>
                    <w:left w:val="nil"/>
                    <w:bottom w:val="nil"/>
                    <w:right w:val="nil"/>
                  </w:tcBorders>
                  <w:shd w:val="clear" w:color="000000" w:fill="65ABDA"/>
                  <w:vAlign w:val="center"/>
                  <w:hideMark/>
                </w:tcPr>
                <w:p w14:paraId="007D99DC"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Greater depth</w:t>
                  </w:r>
                </w:p>
              </w:tc>
              <w:tc>
                <w:tcPr>
                  <w:tcW w:w="827" w:type="dxa"/>
                  <w:tcBorders>
                    <w:top w:val="nil"/>
                    <w:left w:val="nil"/>
                    <w:bottom w:val="nil"/>
                    <w:right w:val="nil"/>
                  </w:tcBorders>
                  <w:shd w:val="clear" w:color="000000" w:fill="8EC953"/>
                  <w:vAlign w:val="center"/>
                  <w:hideMark/>
                </w:tcPr>
                <w:p w14:paraId="6D8445F1"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Expected &amp; above</w:t>
                  </w:r>
                </w:p>
              </w:tc>
              <w:tc>
                <w:tcPr>
                  <w:tcW w:w="828" w:type="dxa"/>
                  <w:tcBorders>
                    <w:top w:val="nil"/>
                    <w:left w:val="nil"/>
                    <w:bottom w:val="nil"/>
                    <w:right w:val="nil"/>
                  </w:tcBorders>
                  <w:shd w:val="clear" w:color="000000" w:fill="65ABDA"/>
                  <w:vAlign w:val="center"/>
                  <w:hideMark/>
                </w:tcPr>
                <w:p w14:paraId="067C1129"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Greater depth</w:t>
                  </w:r>
                </w:p>
              </w:tc>
            </w:tr>
            <w:tr w:rsidR="00540743" w:rsidRPr="00540743" w14:paraId="29011C50" w14:textId="77777777" w:rsidTr="00540743">
              <w:trPr>
                <w:trHeight w:val="256"/>
              </w:trPr>
              <w:tc>
                <w:tcPr>
                  <w:tcW w:w="2393" w:type="dxa"/>
                  <w:vMerge/>
                  <w:tcBorders>
                    <w:top w:val="nil"/>
                    <w:left w:val="nil"/>
                    <w:bottom w:val="nil"/>
                    <w:right w:val="nil"/>
                  </w:tcBorders>
                  <w:vAlign w:val="center"/>
                  <w:hideMark/>
                </w:tcPr>
                <w:p w14:paraId="1DEE08AF"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p>
              </w:tc>
              <w:tc>
                <w:tcPr>
                  <w:tcW w:w="389" w:type="dxa"/>
                  <w:vMerge/>
                  <w:tcBorders>
                    <w:top w:val="nil"/>
                    <w:left w:val="nil"/>
                    <w:bottom w:val="nil"/>
                    <w:right w:val="nil"/>
                  </w:tcBorders>
                  <w:vAlign w:val="center"/>
                  <w:hideMark/>
                </w:tcPr>
                <w:p w14:paraId="4FCFE070"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p>
              </w:tc>
              <w:tc>
                <w:tcPr>
                  <w:tcW w:w="827" w:type="dxa"/>
                  <w:tcBorders>
                    <w:top w:val="nil"/>
                    <w:left w:val="nil"/>
                    <w:bottom w:val="nil"/>
                    <w:right w:val="nil"/>
                  </w:tcBorders>
                  <w:shd w:val="clear" w:color="000000" w:fill="8EC953"/>
                  <w:vAlign w:val="center"/>
                  <w:hideMark/>
                </w:tcPr>
                <w:p w14:paraId="74E211BC"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8" w:type="dxa"/>
                  <w:tcBorders>
                    <w:top w:val="nil"/>
                    <w:left w:val="nil"/>
                    <w:bottom w:val="nil"/>
                    <w:right w:val="nil"/>
                  </w:tcBorders>
                  <w:shd w:val="clear" w:color="000000" w:fill="65ABDA"/>
                  <w:vAlign w:val="center"/>
                  <w:hideMark/>
                </w:tcPr>
                <w:p w14:paraId="1FCF4C77"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7" w:type="dxa"/>
                  <w:tcBorders>
                    <w:top w:val="nil"/>
                    <w:left w:val="nil"/>
                    <w:bottom w:val="nil"/>
                    <w:right w:val="nil"/>
                  </w:tcBorders>
                  <w:shd w:val="clear" w:color="000000" w:fill="8EC953"/>
                  <w:vAlign w:val="center"/>
                  <w:hideMark/>
                </w:tcPr>
                <w:p w14:paraId="6EB52BBF"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8" w:type="dxa"/>
                  <w:tcBorders>
                    <w:top w:val="nil"/>
                    <w:left w:val="nil"/>
                    <w:bottom w:val="nil"/>
                    <w:right w:val="nil"/>
                  </w:tcBorders>
                  <w:shd w:val="clear" w:color="000000" w:fill="65ABDA"/>
                  <w:vAlign w:val="center"/>
                  <w:hideMark/>
                </w:tcPr>
                <w:p w14:paraId="375C3945"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7" w:type="dxa"/>
                  <w:tcBorders>
                    <w:top w:val="nil"/>
                    <w:left w:val="nil"/>
                    <w:bottom w:val="nil"/>
                    <w:right w:val="nil"/>
                  </w:tcBorders>
                  <w:shd w:val="clear" w:color="000000" w:fill="8EC953"/>
                  <w:vAlign w:val="center"/>
                  <w:hideMark/>
                </w:tcPr>
                <w:p w14:paraId="680DE1B5"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8" w:type="dxa"/>
                  <w:tcBorders>
                    <w:top w:val="nil"/>
                    <w:left w:val="nil"/>
                    <w:bottom w:val="nil"/>
                    <w:right w:val="nil"/>
                  </w:tcBorders>
                  <w:shd w:val="clear" w:color="000000" w:fill="65ABDA"/>
                  <w:vAlign w:val="center"/>
                  <w:hideMark/>
                </w:tcPr>
                <w:p w14:paraId="7798CE31"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7" w:type="dxa"/>
                  <w:tcBorders>
                    <w:top w:val="nil"/>
                    <w:left w:val="nil"/>
                    <w:bottom w:val="nil"/>
                    <w:right w:val="nil"/>
                  </w:tcBorders>
                  <w:shd w:val="clear" w:color="000000" w:fill="8EC953"/>
                  <w:vAlign w:val="center"/>
                  <w:hideMark/>
                </w:tcPr>
                <w:p w14:paraId="3C2B2E27"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c>
                <w:tcPr>
                  <w:tcW w:w="828" w:type="dxa"/>
                  <w:tcBorders>
                    <w:top w:val="nil"/>
                    <w:left w:val="nil"/>
                    <w:bottom w:val="nil"/>
                    <w:right w:val="nil"/>
                  </w:tcBorders>
                  <w:shd w:val="clear" w:color="000000" w:fill="65ABDA"/>
                  <w:vAlign w:val="center"/>
                  <w:hideMark/>
                </w:tcPr>
                <w:p w14:paraId="5F966DDA" w14:textId="77777777" w:rsidR="00540743" w:rsidRPr="00540743" w:rsidRDefault="00540743" w:rsidP="00540743">
                  <w:pPr>
                    <w:suppressAutoHyphens w:val="0"/>
                    <w:autoSpaceDN/>
                    <w:spacing w:after="0" w:line="240" w:lineRule="auto"/>
                    <w:jc w:val="center"/>
                    <w:rPr>
                      <w:rFonts w:ascii="Calibri" w:hAnsi="Calibri" w:cs="Calibri"/>
                      <w:b/>
                      <w:bCs/>
                      <w:color w:val="363636"/>
                      <w:sz w:val="18"/>
                      <w:szCs w:val="18"/>
                    </w:rPr>
                  </w:pPr>
                  <w:r w:rsidRPr="00540743">
                    <w:rPr>
                      <w:rFonts w:ascii="Calibri" w:hAnsi="Calibri" w:cs="Calibri"/>
                      <w:b/>
                      <w:bCs/>
                      <w:color w:val="363636"/>
                      <w:sz w:val="18"/>
                      <w:szCs w:val="18"/>
                    </w:rPr>
                    <w:t> </w:t>
                  </w:r>
                </w:p>
              </w:tc>
            </w:tr>
            <w:tr w:rsidR="00540743" w:rsidRPr="00540743" w14:paraId="6439A51C" w14:textId="77777777" w:rsidTr="00540743">
              <w:trPr>
                <w:trHeight w:val="256"/>
              </w:trPr>
              <w:tc>
                <w:tcPr>
                  <w:tcW w:w="2393" w:type="dxa"/>
                  <w:tcBorders>
                    <w:top w:val="nil"/>
                    <w:left w:val="nil"/>
                    <w:bottom w:val="nil"/>
                    <w:right w:val="nil"/>
                  </w:tcBorders>
                  <w:shd w:val="clear" w:color="000000" w:fill="25C364"/>
                  <w:vAlign w:val="bottom"/>
                  <w:hideMark/>
                </w:tcPr>
                <w:p w14:paraId="2AA7F3EB"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r w:rsidRPr="00540743">
                    <w:rPr>
                      <w:rFonts w:ascii="Calibri" w:hAnsi="Calibri" w:cs="Calibri"/>
                      <w:b/>
                      <w:bCs/>
                      <w:color w:val="363636"/>
                      <w:sz w:val="18"/>
                      <w:szCs w:val="18"/>
                    </w:rPr>
                    <w:t>General</w:t>
                  </w:r>
                </w:p>
              </w:tc>
              <w:tc>
                <w:tcPr>
                  <w:tcW w:w="7013" w:type="dxa"/>
                  <w:gridSpan w:val="9"/>
                  <w:tcBorders>
                    <w:top w:val="nil"/>
                    <w:left w:val="nil"/>
                    <w:bottom w:val="nil"/>
                    <w:right w:val="nil"/>
                  </w:tcBorders>
                  <w:shd w:val="clear" w:color="000000" w:fill="25C364"/>
                  <w:vAlign w:val="bottom"/>
                  <w:hideMark/>
                </w:tcPr>
                <w:p w14:paraId="08454375" w14:textId="77777777" w:rsidR="00540743" w:rsidRPr="00540743" w:rsidRDefault="00540743" w:rsidP="00540743">
                  <w:pPr>
                    <w:suppressAutoHyphens w:val="0"/>
                    <w:autoSpaceDN/>
                    <w:spacing w:after="0" w:line="240" w:lineRule="auto"/>
                    <w:rPr>
                      <w:rFonts w:ascii="Calibri" w:hAnsi="Calibri" w:cs="Calibri"/>
                      <w:color w:val="363636"/>
                      <w:sz w:val="18"/>
                      <w:szCs w:val="18"/>
                    </w:rPr>
                  </w:pPr>
                  <w:r w:rsidRPr="00540743">
                    <w:rPr>
                      <w:rFonts w:ascii="Calibri" w:hAnsi="Calibri" w:cs="Calibri"/>
                      <w:color w:val="363636"/>
                      <w:sz w:val="18"/>
                      <w:szCs w:val="18"/>
                    </w:rPr>
                    <w:t> </w:t>
                  </w:r>
                </w:p>
              </w:tc>
            </w:tr>
            <w:tr w:rsidR="00540743" w:rsidRPr="00540743" w14:paraId="10AE0A87" w14:textId="77777777" w:rsidTr="00540743">
              <w:trPr>
                <w:trHeight w:val="256"/>
              </w:trPr>
              <w:tc>
                <w:tcPr>
                  <w:tcW w:w="2393" w:type="dxa"/>
                  <w:tcBorders>
                    <w:top w:val="nil"/>
                    <w:left w:val="nil"/>
                    <w:bottom w:val="nil"/>
                    <w:right w:val="nil"/>
                  </w:tcBorders>
                  <w:shd w:val="clear" w:color="auto" w:fill="auto"/>
                  <w:vAlign w:val="bottom"/>
                  <w:hideMark/>
                </w:tcPr>
                <w:p w14:paraId="12801990"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r w:rsidRPr="00540743">
                    <w:rPr>
                      <w:rFonts w:ascii="Calibri" w:hAnsi="Calibri" w:cs="Calibri"/>
                      <w:b/>
                      <w:bCs/>
                      <w:color w:val="363636"/>
                      <w:sz w:val="18"/>
                      <w:szCs w:val="18"/>
                    </w:rPr>
                    <w:t>Pupil Premium</w:t>
                  </w:r>
                </w:p>
              </w:tc>
              <w:tc>
                <w:tcPr>
                  <w:tcW w:w="389" w:type="dxa"/>
                  <w:tcBorders>
                    <w:top w:val="nil"/>
                    <w:left w:val="nil"/>
                    <w:bottom w:val="nil"/>
                    <w:right w:val="nil"/>
                  </w:tcBorders>
                  <w:shd w:val="clear" w:color="auto" w:fill="auto"/>
                  <w:vAlign w:val="bottom"/>
                  <w:hideMark/>
                </w:tcPr>
                <w:p w14:paraId="57615C7D" w14:textId="77777777" w:rsidR="00540743" w:rsidRPr="00540743" w:rsidRDefault="00540743" w:rsidP="00540743">
                  <w:pPr>
                    <w:suppressAutoHyphens w:val="0"/>
                    <w:autoSpaceDN/>
                    <w:spacing w:after="0" w:line="240" w:lineRule="auto"/>
                    <w:jc w:val="right"/>
                    <w:rPr>
                      <w:rFonts w:ascii="Calibri" w:hAnsi="Calibri" w:cs="Calibri"/>
                      <w:b/>
                      <w:bCs/>
                      <w:color w:val="363636"/>
                      <w:sz w:val="18"/>
                      <w:szCs w:val="18"/>
                    </w:rPr>
                  </w:pPr>
                  <w:r w:rsidRPr="00540743">
                    <w:rPr>
                      <w:rFonts w:ascii="Calibri" w:hAnsi="Calibri" w:cs="Calibri"/>
                      <w:b/>
                      <w:bCs/>
                      <w:color w:val="363636"/>
                      <w:sz w:val="18"/>
                      <w:szCs w:val="18"/>
                    </w:rPr>
                    <w:t>210</w:t>
                  </w:r>
                </w:p>
              </w:tc>
              <w:tc>
                <w:tcPr>
                  <w:tcW w:w="827" w:type="dxa"/>
                  <w:tcBorders>
                    <w:top w:val="nil"/>
                    <w:left w:val="nil"/>
                    <w:bottom w:val="nil"/>
                    <w:right w:val="nil"/>
                  </w:tcBorders>
                  <w:shd w:val="clear" w:color="auto" w:fill="auto"/>
                  <w:vAlign w:val="bottom"/>
                  <w:hideMark/>
                </w:tcPr>
                <w:p w14:paraId="4D260392"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20%</w:t>
                  </w:r>
                </w:p>
              </w:tc>
              <w:tc>
                <w:tcPr>
                  <w:tcW w:w="828" w:type="dxa"/>
                  <w:tcBorders>
                    <w:top w:val="nil"/>
                    <w:left w:val="nil"/>
                    <w:bottom w:val="nil"/>
                    <w:right w:val="nil"/>
                  </w:tcBorders>
                  <w:shd w:val="clear" w:color="auto" w:fill="auto"/>
                  <w:vAlign w:val="bottom"/>
                  <w:hideMark/>
                </w:tcPr>
                <w:p w14:paraId="4663E1EA"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2.40%</w:t>
                  </w:r>
                </w:p>
              </w:tc>
              <w:tc>
                <w:tcPr>
                  <w:tcW w:w="827" w:type="dxa"/>
                  <w:tcBorders>
                    <w:top w:val="nil"/>
                    <w:left w:val="nil"/>
                    <w:bottom w:val="nil"/>
                    <w:right w:val="nil"/>
                  </w:tcBorders>
                  <w:shd w:val="clear" w:color="auto" w:fill="auto"/>
                  <w:vAlign w:val="bottom"/>
                  <w:hideMark/>
                </w:tcPr>
                <w:p w14:paraId="00DE9ABD"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27.60%</w:t>
                  </w:r>
                </w:p>
              </w:tc>
              <w:tc>
                <w:tcPr>
                  <w:tcW w:w="828" w:type="dxa"/>
                  <w:tcBorders>
                    <w:top w:val="nil"/>
                    <w:left w:val="nil"/>
                    <w:bottom w:val="nil"/>
                    <w:right w:val="nil"/>
                  </w:tcBorders>
                  <w:shd w:val="clear" w:color="auto" w:fill="auto"/>
                  <w:vAlign w:val="bottom"/>
                  <w:hideMark/>
                </w:tcPr>
                <w:p w14:paraId="76E2F822"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2.40%</w:t>
                  </w:r>
                </w:p>
              </w:tc>
              <w:tc>
                <w:tcPr>
                  <w:tcW w:w="827" w:type="dxa"/>
                  <w:tcBorders>
                    <w:top w:val="nil"/>
                    <w:left w:val="nil"/>
                    <w:bottom w:val="nil"/>
                    <w:right w:val="nil"/>
                  </w:tcBorders>
                  <w:shd w:val="clear" w:color="auto" w:fill="auto"/>
                  <w:vAlign w:val="bottom"/>
                  <w:hideMark/>
                </w:tcPr>
                <w:p w14:paraId="7C562862"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37.10%</w:t>
                  </w:r>
                </w:p>
              </w:tc>
              <w:tc>
                <w:tcPr>
                  <w:tcW w:w="828" w:type="dxa"/>
                  <w:tcBorders>
                    <w:top w:val="nil"/>
                    <w:left w:val="nil"/>
                    <w:bottom w:val="nil"/>
                    <w:right w:val="nil"/>
                  </w:tcBorders>
                  <w:shd w:val="clear" w:color="auto" w:fill="auto"/>
                  <w:vAlign w:val="bottom"/>
                  <w:hideMark/>
                </w:tcPr>
                <w:p w14:paraId="105842E6"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6.70%</w:t>
                  </w:r>
                </w:p>
              </w:tc>
              <w:tc>
                <w:tcPr>
                  <w:tcW w:w="827" w:type="dxa"/>
                  <w:tcBorders>
                    <w:top w:val="nil"/>
                    <w:left w:val="nil"/>
                    <w:bottom w:val="nil"/>
                    <w:right w:val="nil"/>
                  </w:tcBorders>
                  <w:shd w:val="clear" w:color="auto" w:fill="auto"/>
                  <w:vAlign w:val="bottom"/>
                  <w:hideMark/>
                </w:tcPr>
                <w:p w14:paraId="250B1872"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41.90%</w:t>
                  </w:r>
                </w:p>
              </w:tc>
              <w:tc>
                <w:tcPr>
                  <w:tcW w:w="828" w:type="dxa"/>
                  <w:tcBorders>
                    <w:top w:val="nil"/>
                    <w:left w:val="nil"/>
                    <w:bottom w:val="nil"/>
                    <w:right w:val="nil"/>
                  </w:tcBorders>
                  <w:shd w:val="clear" w:color="auto" w:fill="auto"/>
                  <w:vAlign w:val="bottom"/>
                  <w:hideMark/>
                </w:tcPr>
                <w:p w14:paraId="35B58B4E"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12.90%</w:t>
                  </w:r>
                </w:p>
              </w:tc>
            </w:tr>
            <w:tr w:rsidR="00540743" w:rsidRPr="00540743" w14:paraId="65451BA4" w14:textId="77777777" w:rsidTr="00540743">
              <w:trPr>
                <w:trHeight w:val="256"/>
              </w:trPr>
              <w:tc>
                <w:tcPr>
                  <w:tcW w:w="2393" w:type="dxa"/>
                  <w:tcBorders>
                    <w:top w:val="nil"/>
                    <w:left w:val="nil"/>
                    <w:bottom w:val="nil"/>
                    <w:right w:val="nil"/>
                  </w:tcBorders>
                  <w:shd w:val="clear" w:color="auto" w:fill="auto"/>
                  <w:vAlign w:val="bottom"/>
                  <w:hideMark/>
                </w:tcPr>
                <w:p w14:paraId="7FD692B0" w14:textId="77777777" w:rsidR="00540743" w:rsidRPr="00540743" w:rsidRDefault="00540743" w:rsidP="00540743">
                  <w:pPr>
                    <w:suppressAutoHyphens w:val="0"/>
                    <w:autoSpaceDN/>
                    <w:spacing w:after="0" w:line="240" w:lineRule="auto"/>
                    <w:rPr>
                      <w:rFonts w:ascii="Calibri" w:hAnsi="Calibri" w:cs="Calibri"/>
                      <w:b/>
                      <w:bCs/>
                      <w:color w:val="363636"/>
                      <w:sz w:val="18"/>
                      <w:szCs w:val="18"/>
                    </w:rPr>
                  </w:pPr>
                  <w:r w:rsidRPr="00540743">
                    <w:rPr>
                      <w:rFonts w:ascii="Calibri" w:hAnsi="Calibri" w:cs="Calibri"/>
                      <w:b/>
                      <w:bCs/>
                      <w:color w:val="363636"/>
                      <w:sz w:val="18"/>
                      <w:szCs w:val="18"/>
                    </w:rPr>
                    <w:t>Not Pupil Premium</w:t>
                  </w:r>
                </w:p>
              </w:tc>
              <w:tc>
                <w:tcPr>
                  <w:tcW w:w="389" w:type="dxa"/>
                  <w:tcBorders>
                    <w:top w:val="nil"/>
                    <w:left w:val="nil"/>
                    <w:bottom w:val="nil"/>
                    <w:right w:val="nil"/>
                  </w:tcBorders>
                  <w:shd w:val="clear" w:color="auto" w:fill="auto"/>
                  <w:vAlign w:val="bottom"/>
                  <w:hideMark/>
                </w:tcPr>
                <w:p w14:paraId="65C66C3C" w14:textId="77777777" w:rsidR="00540743" w:rsidRPr="00540743" w:rsidRDefault="00540743" w:rsidP="00540743">
                  <w:pPr>
                    <w:suppressAutoHyphens w:val="0"/>
                    <w:autoSpaceDN/>
                    <w:spacing w:after="0" w:line="240" w:lineRule="auto"/>
                    <w:jc w:val="right"/>
                    <w:rPr>
                      <w:rFonts w:ascii="Calibri" w:hAnsi="Calibri" w:cs="Calibri"/>
                      <w:b/>
                      <w:bCs/>
                      <w:color w:val="363636"/>
                      <w:sz w:val="18"/>
                      <w:szCs w:val="18"/>
                    </w:rPr>
                  </w:pPr>
                  <w:r w:rsidRPr="00540743">
                    <w:rPr>
                      <w:rFonts w:ascii="Calibri" w:hAnsi="Calibri" w:cs="Calibri"/>
                      <w:b/>
                      <w:bCs/>
                      <w:color w:val="363636"/>
                      <w:sz w:val="18"/>
                      <w:szCs w:val="18"/>
                    </w:rPr>
                    <w:t>207</w:t>
                  </w:r>
                </w:p>
              </w:tc>
              <w:tc>
                <w:tcPr>
                  <w:tcW w:w="827" w:type="dxa"/>
                  <w:tcBorders>
                    <w:top w:val="nil"/>
                    <w:left w:val="nil"/>
                    <w:bottom w:val="nil"/>
                    <w:right w:val="nil"/>
                  </w:tcBorders>
                  <w:shd w:val="clear" w:color="auto" w:fill="auto"/>
                  <w:vAlign w:val="bottom"/>
                  <w:hideMark/>
                </w:tcPr>
                <w:p w14:paraId="08333535"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36.70%</w:t>
                  </w:r>
                </w:p>
              </w:tc>
              <w:tc>
                <w:tcPr>
                  <w:tcW w:w="828" w:type="dxa"/>
                  <w:tcBorders>
                    <w:top w:val="nil"/>
                    <w:left w:val="nil"/>
                    <w:bottom w:val="nil"/>
                    <w:right w:val="nil"/>
                  </w:tcBorders>
                  <w:shd w:val="clear" w:color="auto" w:fill="auto"/>
                  <w:vAlign w:val="bottom"/>
                  <w:hideMark/>
                </w:tcPr>
                <w:p w14:paraId="2F8CEBF3"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9.20%</w:t>
                  </w:r>
                </w:p>
              </w:tc>
              <w:tc>
                <w:tcPr>
                  <w:tcW w:w="827" w:type="dxa"/>
                  <w:tcBorders>
                    <w:top w:val="nil"/>
                    <w:left w:val="nil"/>
                    <w:bottom w:val="nil"/>
                    <w:right w:val="nil"/>
                  </w:tcBorders>
                  <w:shd w:val="clear" w:color="auto" w:fill="auto"/>
                  <w:vAlign w:val="bottom"/>
                  <w:hideMark/>
                </w:tcPr>
                <w:p w14:paraId="4C449DDF"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33.30%</w:t>
                  </w:r>
                </w:p>
              </w:tc>
              <w:tc>
                <w:tcPr>
                  <w:tcW w:w="828" w:type="dxa"/>
                  <w:tcBorders>
                    <w:top w:val="nil"/>
                    <w:left w:val="nil"/>
                    <w:bottom w:val="nil"/>
                    <w:right w:val="nil"/>
                  </w:tcBorders>
                  <w:shd w:val="clear" w:color="auto" w:fill="auto"/>
                  <w:vAlign w:val="bottom"/>
                  <w:hideMark/>
                </w:tcPr>
                <w:p w14:paraId="7F69509F"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3.90%</w:t>
                  </w:r>
                </w:p>
              </w:tc>
              <w:tc>
                <w:tcPr>
                  <w:tcW w:w="827" w:type="dxa"/>
                  <w:tcBorders>
                    <w:top w:val="nil"/>
                    <w:left w:val="nil"/>
                    <w:bottom w:val="nil"/>
                    <w:right w:val="nil"/>
                  </w:tcBorders>
                  <w:shd w:val="clear" w:color="auto" w:fill="auto"/>
                  <w:vAlign w:val="bottom"/>
                  <w:hideMark/>
                </w:tcPr>
                <w:p w14:paraId="0646D116"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44%</w:t>
                  </w:r>
                </w:p>
              </w:tc>
              <w:tc>
                <w:tcPr>
                  <w:tcW w:w="828" w:type="dxa"/>
                  <w:tcBorders>
                    <w:top w:val="nil"/>
                    <w:left w:val="nil"/>
                    <w:bottom w:val="nil"/>
                    <w:right w:val="nil"/>
                  </w:tcBorders>
                  <w:shd w:val="clear" w:color="auto" w:fill="auto"/>
                  <w:vAlign w:val="bottom"/>
                  <w:hideMark/>
                </w:tcPr>
                <w:p w14:paraId="65CFED11"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16.40%</w:t>
                  </w:r>
                </w:p>
              </w:tc>
              <w:tc>
                <w:tcPr>
                  <w:tcW w:w="827" w:type="dxa"/>
                  <w:tcBorders>
                    <w:top w:val="nil"/>
                    <w:left w:val="nil"/>
                    <w:bottom w:val="nil"/>
                    <w:right w:val="nil"/>
                  </w:tcBorders>
                  <w:shd w:val="clear" w:color="auto" w:fill="auto"/>
                  <w:vAlign w:val="bottom"/>
                  <w:hideMark/>
                </w:tcPr>
                <w:p w14:paraId="74C6883A"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52.70%</w:t>
                  </w:r>
                </w:p>
              </w:tc>
              <w:tc>
                <w:tcPr>
                  <w:tcW w:w="828" w:type="dxa"/>
                  <w:tcBorders>
                    <w:top w:val="nil"/>
                    <w:left w:val="nil"/>
                    <w:bottom w:val="nil"/>
                    <w:right w:val="nil"/>
                  </w:tcBorders>
                  <w:shd w:val="clear" w:color="auto" w:fill="auto"/>
                  <w:vAlign w:val="bottom"/>
                  <w:hideMark/>
                </w:tcPr>
                <w:p w14:paraId="7F651E37" w14:textId="77777777" w:rsidR="00540743" w:rsidRPr="00540743" w:rsidRDefault="00540743" w:rsidP="00540743">
                  <w:pPr>
                    <w:suppressAutoHyphens w:val="0"/>
                    <w:autoSpaceDN/>
                    <w:spacing w:after="0" w:line="240" w:lineRule="auto"/>
                    <w:jc w:val="right"/>
                    <w:rPr>
                      <w:rFonts w:ascii="Calibri" w:hAnsi="Calibri" w:cs="Calibri"/>
                      <w:color w:val="363636"/>
                      <w:sz w:val="18"/>
                      <w:szCs w:val="18"/>
                    </w:rPr>
                  </w:pPr>
                  <w:r w:rsidRPr="00540743">
                    <w:rPr>
                      <w:rFonts w:ascii="Calibri" w:hAnsi="Calibri" w:cs="Calibri"/>
                      <w:color w:val="363636"/>
                      <w:sz w:val="18"/>
                      <w:szCs w:val="18"/>
                    </w:rPr>
                    <w:t>23.70%</w:t>
                  </w:r>
                </w:p>
              </w:tc>
            </w:tr>
          </w:tbl>
          <w:p w14:paraId="25EDA3F2" w14:textId="2FA3C7AA" w:rsidR="00E66558" w:rsidRPr="00540743" w:rsidRDefault="00E66558">
            <w:pPr>
              <w:rPr>
                <w:b/>
                <w:sz w:val="18"/>
                <w:szCs w:val="18"/>
                <w:u w:val="single"/>
                <w:lang w:eastAsia="en-US"/>
              </w:rPr>
            </w:pPr>
          </w:p>
          <w:p w14:paraId="58A74BDF" w14:textId="34AFD57A" w:rsidR="00540743" w:rsidRPr="00540743" w:rsidRDefault="00540743">
            <w:pPr>
              <w:rPr>
                <w:b/>
                <w:sz w:val="20"/>
                <w:szCs w:val="20"/>
                <w:u w:val="single"/>
              </w:rPr>
            </w:pPr>
            <w:r w:rsidRPr="00540743">
              <w:rPr>
                <w:b/>
                <w:sz w:val="20"/>
                <w:szCs w:val="20"/>
                <w:u w:val="single"/>
              </w:rPr>
              <w:t>Chosen Actions: -</w:t>
            </w:r>
          </w:p>
          <w:p w14:paraId="589D8BDA" w14:textId="0F34049B" w:rsidR="00540743" w:rsidRDefault="00540743" w:rsidP="00540743">
            <w:pPr>
              <w:pStyle w:val="ListParagraph"/>
              <w:numPr>
                <w:ilvl w:val="0"/>
                <w:numId w:val="15"/>
              </w:numPr>
              <w:rPr>
                <w:sz w:val="18"/>
                <w:szCs w:val="18"/>
              </w:rPr>
            </w:pPr>
            <w:r w:rsidRPr="00540743">
              <w:rPr>
                <w:sz w:val="18"/>
                <w:szCs w:val="18"/>
              </w:rPr>
              <w:t xml:space="preserve">Maths </w:t>
            </w:r>
            <w:proofErr w:type="spellStart"/>
            <w:r w:rsidRPr="00540743">
              <w:rPr>
                <w:sz w:val="18"/>
                <w:szCs w:val="18"/>
              </w:rPr>
              <w:t>Chartwell</w:t>
            </w:r>
            <w:proofErr w:type="spellEnd"/>
            <w:r w:rsidRPr="00540743">
              <w:rPr>
                <w:sz w:val="18"/>
                <w:szCs w:val="18"/>
              </w:rPr>
              <w:t xml:space="preserve"> </w:t>
            </w:r>
            <w:r>
              <w:rPr>
                <w:sz w:val="18"/>
                <w:szCs w:val="18"/>
              </w:rPr>
              <w:t xml:space="preserve">CPD plotted across the academic year. This will help develop teachers’ understanding of assessing gaps and building upon what all children know and how to move their learning forward. </w:t>
            </w:r>
          </w:p>
          <w:p w14:paraId="59A174D1" w14:textId="5A1B6290" w:rsidR="00540743" w:rsidRDefault="00540743" w:rsidP="00540743">
            <w:pPr>
              <w:pStyle w:val="ListParagraph"/>
              <w:numPr>
                <w:ilvl w:val="0"/>
                <w:numId w:val="15"/>
              </w:numPr>
              <w:rPr>
                <w:sz w:val="18"/>
                <w:szCs w:val="18"/>
              </w:rPr>
            </w:pPr>
            <w:r>
              <w:rPr>
                <w:sz w:val="18"/>
                <w:szCs w:val="18"/>
              </w:rPr>
              <w:t xml:space="preserve">X2 HLTA’s to deliver bespoke small group work with PP children across the school to close the gaps developed over National Lockdown. </w:t>
            </w:r>
          </w:p>
          <w:p w14:paraId="67A104B4" w14:textId="1EABEA38" w:rsidR="00540743" w:rsidRDefault="00540743" w:rsidP="00540743">
            <w:pPr>
              <w:pStyle w:val="ListParagraph"/>
              <w:numPr>
                <w:ilvl w:val="0"/>
                <w:numId w:val="15"/>
              </w:numPr>
              <w:rPr>
                <w:sz w:val="18"/>
                <w:szCs w:val="18"/>
              </w:rPr>
            </w:pPr>
            <w:r w:rsidRPr="00540743">
              <w:rPr>
                <w:sz w:val="18"/>
                <w:szCs w:val="18"/>
              </w:rPr>
              <w:t>Continue to purchase Bug Club so that children have a richer diet of reading materials and have access to reading at home. Bug Club has continued to be successful, particularly where it has been difficult to send home ‘real’ books due to COVID. During the school closure period in the Spring Term the teachers were able to allocate books to the children and were able to monitor the children’s engagement in reading.</w:t>
            </w:r>
          </w:p>
          <w:p w14:paraId="25BD3CB7" w14:textId="5E2E186C" w:rsidR="00540743" w:rsidRPr="00540743" w:rsidRDefault="00540743" w:rsidP="00540743">
            <w:pPr>
              <w:pStyle w:val="ListParagraph"/>
              <w:numPr>
                <w:ilvl w:val="0"/>
                <w:numId w:val="15"/>
              </w:numPr>
              <w:rPr>
                <w:sz w:val="18"/>
                <w:szCs w:val="18"/>
              </w:rPr>
            </w:pPr>
            <w:r w:rsidRPr="00540743">
              <w:rPr>
                <w:sz w:val="18"/>
                <w:szCs w:val="18"/>
              </w:rPr>
              <w:t>Purchase of Partnership Learning Attendance Officer</w:t>
            </w:r>
            <w:r>
              <w:rPr>
                <w:sz w:val="18"/>
                <w:szCs w:val="18"/>
              </w:rPr>
              <w:t xml:space="preserve"> and f</w:t>
            </w:r>
            <w:r w:rsidRPr="00540743">
              <w:rPr>
                <w:sz w:val="18"/>
                <w:szCs w:val="18"/>
              </w:rPr>
              <w:t>ree Breakfast Club available for PP children</w:t>
            </w:r>
            <w:r>
              <w:rPr>
                <w:sz w:val="18"/>
                <w:szCs w:val="18"/>
              </w:rPr>
              <w:t>. Meetings held with parents t</w:t>
            </w:r>
            <w:r w:rsidRPr="00540743">
              <w:rPr>
                <w:sz w:val="18"/>
                <w:szCs w:val="18"/>
              </w:rPr>
              <w:t xml:space="preserve">o discuss potential barriers </w:t>
            </w:r>
            <w:r>
              <w:rPr>
                <w:sz w:val="18"/>
                <w:szCs w:val="18"/>
              </w:rPr>
              <w:t xml:space="preserve">and sign attendance contracts with Deputy </w:t>
            </w:r>
            <w:proofErr w:type="spellStart"/>
            <w:r>
              <w:rPr>
                <w:sz w:val="18"/>
                <w:szCs w:val="18"/>
              </w:rPr>
              <w:t>Headteacher</w:t>
            </w:r>
            <w:proofErr w:type="spellEnd"/>
            <w:r w:rsidRPr="00540743">
              <w:rPr>
                <w:sz w:val="18"/>
                <w:szCs w:val="18"/>
              </w:rPr>
              <w:t>.</w:t>
            </w:r>
          </w:p>
          <w:p w14:paraId="2B5EDC59" w14:textId="5100E61F" w:rsidR="00540743" w:rsidRDefault="00540743" w:rsidP="00540743">
            <w:pPr>
              <w:pStyle w:val="ListParagraph"/>
              <w:numPr>
                <w:ilvl w:val="0"/>
                <w:numId w:val="15"/>
              </w:numPr>
              <w:rPr>
                <w:sz w:val="18"/>
                <w:szCs w:val="18"/>
              </w:rPr>
            </w:pPr>
            <w:r w:rsidRPr="00540743">
              <w:rPr>
                <w:sz w:val="18"/>
                <w:szCs w:val="18"/>
              </w:rPr>
              <w:t xml:space="preserve">Attendance is still an issue with a significant percentage of PP children, however it has been difficult to monitor due to children isolating and bubble closures. Partnership Learning EWO has worked with many families and the attendance of these families is improving. The EWO has started conducting home visits to try and discuss attendance with the families. Persistent absence </w:t>
            </w:r>
            <w:r>
              <w:rPr>
                <w:sz w:val="18"/>
                <w:szCs w:val="18"/>
              </w:rPr>
              <w:t>has been tackled first (below 92%) as this was</w:t>
            </w:r>
            <w:r w:rsidRPr="00540743">
              <w:rPr>
                <w:sz w:val="18"/>
                <w:szCs w:val="18"/>
              </w:rPr>
              <w:t xml:space="preserve"> the area of most concern.</w:t>
            </w:r>
          </w:p>
          <w:p w14:paraId="2A890F33" w14:textId="5F9DB440" w:rsidR="00540743" w:rsidRDefault="00522DE8" w:rsidP="00540743">
            <w:pPr>
              <w:pStyle w:val="ListParagraph"/>
              <w:numPr>
                <w:ilvl w:val="0"/>
                <w:numId w:val="15"/>
              </w:numPr>
              <w:rPr>
                <w:sz w:val="18"/>
                <w:szCs w:val="18"/>
              </w:rPr>
            </w:pPr>
            <w:r>
              <w:rPr>
                <w:sz w:val="18"/>
                <w:szCs w:val="18"/>
              </w:rPr>
              <w:t>One to One counselling service for PP children started in Summer 2020</w:t>
            </w:r>
            <w:r w:rsidR="00062089">
              <w:rPr>
                <w:sz w:val="18"/>
                <w:szCs w:val="18"/>
              </w:rPr>
              <w:t xml:space="preserve">. This will continue as they service provided emotional support for our PP children as a result of Lockdown and other issues the children face being part of a PP family. </w:t>
            </w:r>
          </w:p>
          <w:p w14:paraId="77498CD4" w14:textId="2D0786C7" w:rsidR="00062089" w:rsidRDefault="00062089" w:rsidP="00062089">
            <w:pPr>
              <w:pStyle w:val="ListParagraph"/>
              <w:numPr>
                <w:ilvl w:val="0"/>
                <w:numId w:val="15"/>
              </w:numPr>
              <w:rPr>
                <w:sz w:val="18"/>
                <w:szCs w:val="18"/>
              </w:rPr>
            </w:pPr>
            <w:r w:rsidRPr="00062089">
              <w:rPr>
                <w:sz w:val="18"/>
                <w:szCs w:val="18"/>
              </w:rPr>
              <w:t>Pupils eligible for Pupil Premium receive help for school uniform and trips to ensure that all children have access to enrichment activities.</w:t>
            </w:r>
            <w:r>
              <w:rPr>
                <w:sz w:val="18"/>
                <w:szCs w:val="18"/>
              </w:rPr>
              <w:t xml:space="preserve"> </w:t>
            </w:r>
            <w:r w:rsidRPr="00062089">
              <w:rPr>
                <w:sz w:val="18"/>
                <w:szCs w:val="18"/>
              </w:rPr>
              <w:t>Pupils eligible f</w:t>
            </w:r>
            <w:r>
              <w:rPr>
                <w:sz w:val="18"/>
                <w:szCs w:val="18"/>
              </w:rPr>
              <w:t>or Pupil Premium are offered</w:t>
            </w:r>
            <w:r w:rsidRPr="00062089">
              <w:rPr>
                <w:sz w:val="18"/>
                <w:szCs w:val="18"/>
              </w:rPr>
              <w:t xml:space="preserve"> free after school club</w:t>
            </w:r>
            <w:r>
              <w:rPr>
                <w:sz w:val="18"/>
                <w:szCs w:val="18"/>
              </w:rPr>
              <w:t>s and b</w:t>
            </w:r>
            <w:r w:rsidRPr="00062089">
              <w:rPr>
                <w:sz w:val="18"/>
                <w:szCs w:val="18"/>
              </w:rPr>
              <w:t>reakfast club</w:t>
            </w:r>
            <w:r>
              <w:rPr>
                <w:sz w:val="18"/>
                <w:szCs w:val="18"/>
              </w:rPr>
              <w:t>.</w:t>
            </w:r>
            <w:r w:rsidRPr="00062089">
              <w:rPr>
                <w:sz w:val="18"/>
                <w:szCs w:val="18"/>
              </w:rPr>
              <w:t xml:space="preserve"> Breakfast club has helped to give PP children a healthy and positive start</w:t>
            </w:r>
            <w:r>
              <w:rPr>
                <w:sz w:val="18"/>
                <w:szCs w:val="18"/>
              </w:rPr>
              <w:t xml:space="preserve"> to the day. At present about 75</w:t>
            </w:r>
            <w:r w:rsidRPr="00062089">
              <w:rPr>
                <w:sz w:val="18"/>
                <w:szCs w:val="18"/>
              </w:rPr>
              <w:t xml:space="preserve">% of the children who take up Breakfast club are PP children. </w:t>
            </w:r>
            <w:r>
              <w:rPr>
                <w:sz w:val="18"/>
                <w:szCs w:val="18"/>
              </w:rPr>
              <w:t xml:space="preserve">Below table shows PP children need to be attending more clubs, higher </w:t>
            </w:r>
            <w:r w:rsidR="000924EA">
              <w:rPr>
                <w:sz w:val="18"/>
                <w:szCs w:val="18"/>
              </w:rPr>
              <w:t>focus will be given to this.</w:t>
            </w:r>
          </w:p>
          <w:tbl>
            <w:tblPr>
              <w:tblW w:w="7885" w:type="dxa"/>
              <w:tblLook w:val="04A0" w:firstRow="1" w:lastRow="0" w:firstColumn="1" w:lastColumn="0" w:noHBand="0" w:noVBand="1"/>
            </w:tblPr>
            <w:tblGrid>
              <w:gridCol w:w="942"/>
              <w:gridCol w:w="881"/>
              <w:gridCol w:w="463"/>
              <w:gridCol w:w="751"/>
              <w:gridCol w:w="463"/>
              <w:gridCol w:w="751"/>
              <w:gridCol w:w="463"/>
              <w:gridCol w:w="751"/>
              <w:gridCol w:w="308"/>
              <w:gridCol w:w="546"/>
              <w:gridCol w:w="308"/>
              <w:gridCol w:w="546"/>
              <w:gridCol w:w="308"/>
              <w:gridCol w:w="546"/>
            </w:tblGrid>
            <w:tr w:rsidR="00062089" w:rsidRPr="00E7604F" w14:paraId="2FBCDE4D" w14:textId="77777777" w:rsidTr="00062089">
              <w:trPr>
                <w:trHeight w:val="258"/>
              </w:trPr>
              <w:tc>
                <w:tcPr>
                  <w:tcW w:w="7885" w:type="dxa"/>
                  <w:gridSpan w:val="14"/>
                  <w:tcBorders>
                    <w:top w:val="single" w:sz="4" w:space="0" w:color="auto"/>
                    <w:left w:val="single" w:sz="4" w:space="0" w:color="auto"/>
                    <w:bottom w:val="single" w:sz="4" w:space="0" w:color="auto"/>
                    <w:right w:val="single" w:sz="4" w:space="0" w:color="000000"/>
                  </w:tcBorders>
                  <w:shd w:val="clear" w:color="000000" w:fill="D3D3D3"/>
                  <w:noWrap/>
                  <w:hideMark/>
                </w:tcPr>
                <w:p w14:paraId="4AAB7BE5" w14:textId="77777777" w:rsidR="00062089" w:rsidRPr="00062089" w:rsidRDefault="00062089" w:rsidP="00062089">
                  <w:pPr>
                    <w:spacing w:after="0" w:line="240" w:lineRule="auto"/>
                    <w:jc w:val="center"/>
                    <w:rPr>
                      <w:rFonts w:asciiTheme="minorHAnsi" w:hAnsiTheme="minorHAnsi" w:cstheme="minorHAnsi"/>
                      <w:b/>
                      <w:bCs/>
                      <w:color w:val="000000"/>
                      <w:sz w:val="18"/>
                      <w:szCs w:val="18"/>
                    </w:rPr>
                  </w:pPr>
                  <w:r w:rsidRPr="00062089">
                    <w:rPr>
                      <w:rFonts w:asciiTheme="minorHAnsi" w:hAnsiTheme="minorHAnsi" w:cstheme="minorHAnsi"/>
                      <w:b/>
                      <w:bCs/>
                      <w:color w:val="000000"/>
                      <w:sz w:val="18"/>
                      <w:szCs w:val="18"/>
                    </w:rPr>
                    <w:t>Club Analysis:</w:t>
                  </w:r>
                </w:p>
              </w:tc>
            </w:tr>
            <w:tr w:rsidR="00062089" w:rsidRPr="00E7604F" w14:paraId="3D3B91FD" w14:textId="77777777" w:rsidTr="00062089">
              <w:trPr>
                <w:trHeight w:val="258"/>
              </w:trPr>
              <w:tc>
                <w:tcPr>
                  <w:tcW w:w="942" w:type="dxa"/>
                  <w:tcBorders>
                    <w:top w:val="nil"/>
                    <w:left w:val="single" w:sz="4" w:space="0" w:color="auto"/>
                    <w:bottom w:val="single" w:sz="4" w:space="0" w:color="auto"/>
                    <w:right w:val="single" w:sz="4" w:space="0" w:color="auto"/>
                  </w:tcBorders>
                  <w:shd w:val="clear" w:color="000000" w:fill="D3D3D3"/>
                  <w:noWrap/>
                  <w:vAlign w:val="bottom"/>
                  <w:hideMark/>
                </w:tcPr>
                <w:p w14:paraId="7BA90F34" w14:textId="77777777" w:rsidR="00062089" w:rsidRPr="00062089" w:rsidRDefault="00062089" w:rsidP="00062089">
                  <w:pPr>
                    <w:spacing w:after="0" w:line="240" w:lineRule="auto"/>
                    <w:rPr>
                      <w:rFonts w:ascii="Calibri" w:hAnsi="Calibri" w:cs="Calibri"/>
                      <w:color w:val="000000"/>
                      <w:sz w:val="18"/>
                      <w:szCs w:val="18"/>
                    </w:rPr>
                  </w:pPr>
                  <w:r w:rsidRPr="00062089">
                    <w:rPr>
                      <w:rFonts w:ascii="Calibri" w:hAnsi="Calibri" w:cs="Calibri"/>
                      <w:color w:val="000000"/>
                      <w:sz w:val="18"/>
                      <w:szCs w:val="18"/>
                    </w:rPr>
                    <w:t> </w:t>
                  </w:r>
                </w:p>
              </w:tc>
              <w:tc>
                <w:tcPr>
                  <w:tcW w:w="881" w:type="dxa"/>
                  <w:tcBorders>
                    <w:top w:val="nil"/>
                    <w:left w:val="nil"/>
                    <w:bottom w:val="single" w:sz="4" w:space="0" w:color="auto"/>
                    <w:right w:val="single" w:sz="4" w:space="0" w:color="auto"/>
                  </w:tcBorders>
                  <w:shd w:val="clear" w:color="000000" w:fill="D3D3D3"/>
                  <w:noWrap/>
                  <w:vAlign w:val="bottom"/>
                  <w:hideMark/>
                </w:tcPr>
                <w:p w14:paraId="1FB938ED" w14:textId="77777777" w:rsidR="00062089" w:rsidRPr="00062089" w:rsidRDefault="00062089" w:rsidP="00062089">
                  <w:pPr>
                    <w:spacing w:after="0" w:line="240" w:lineRule="auto"/>
                    <w:rPr>
                      <w:rFonts w:ascii="Calibri" w:hAnsi="Calibri" w:cs="Calibri"/>
                      <w:color w:val="000000"/>
                      <w:sz w:val="18"/>
                      <w:szCs w:val="18"/>
                    </w:rPr>
                  </w:pPr>
                  <w:r w:rsidRPr="00062089">
                    <w:rPr>
                      <w:rFonts w:ascii="Calibri" w:hAnsi="Calibri" w:cs="Calibri"/>
                      <w:color w:val="000000"/>
                      <w:sz w:val="18"/>
                      <w:szCs w:val="18"/>
                    </w:rPr>
                    <w:t>Total</w:t>
                  </w:r>
                </w:p>
              </w:tc>
              <w:tc>
                <w:tcPr>
                  <w:tcW w:w="1214" w:type="dxa"/>
                  <w:gridSpan w:val="2"/>
                  <w:tcBorders>
                    <w:top w:val="single" w:sz="4" w:space="0" w:color="auto"/>
                    <w:left w:val="nil"/>
                    <w:bottom w:val="single" w:sz="4" w:space="0" w:color="auto"/>
                    <w:right w:val="single" w:sz="4" w:space="0" w:color="000000"/>
                  </w:tcBorders>
                  <w:shd w:val="clear" w:color="000000" w:fill="D3D3D3"/>
                  <w:noWrap/>
                  <w:vAlign w:val="bottom"/>
                  <w:hideMark/>
                </w:tcPr>
                <w:p w14:paraId="1FC99977"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0 Clubs</w:t>
                  </w:r>
                </w:p>
              </w:tc>
              <w:tc>
                <w:tcPr>
                  <w:tcW w:w="1214" w:type="dxa"/>
                  <w:gridSpan w:val="2"/>
                  <w:tcBorders>
                    <w:top w:val="single" w:sz="4" w:space="0" w:color="auto"/>
                    <w:left w:val="nil"/>
                    <w:bottom w:val="single" w:sz="4" w:space="0" w:color="auto"/>
                    <w:right w:val="single" w:sz="4" w:space="0" w:color="auto"/>
                  </w:tcBorders>
                  <w:shd w:val="clear" w:color="000000" w:fill="D3D3D3"/>
                  <w:noWrap/>
                  <w:vAlign w:val="bottom"/>
                  <w:hideMark/>
                </w:tcPr>
                <w:p w14:paraId="14113B02"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1 Club</w:t>
                  </w:r>
                </w:p>
              </w:tc>
              <w:tc>
                <w:tcPr>
                  <w:tcW w:w="1214" w:type="dxa"/>
                  <w:gridSpan w:val="2"/>
                  <w:tcBorders>
                    <w:top w:val="single" w:sz="4" w:space="0" w:color="auto"/>
                    <w:left w:val="nil"/>
                    <w:bottom w:val="single" w:sz="4" w:space="0" w:color="auto"/>
                    <w:right w:val="single" w:sz="4" w:space="0" w:color="auto"/>
                  </w:tcBorders>
                  <w:shd w:val="clear" w:color="000000" w:fill="D3D3D3"/>
                  <w:noWrap/>
                  <w:vAlign w:val="bottom"/>
                  <w:hideMark/>
                </w:tcPr>
                <w:p w14:paraId="741167DB"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2 Clubs</w:t>
                  </w:r>
                </w:p>
              </w:tc>
              <w:tc>
                <w:tcPr>
                  <w:tcW w:w="805" w:type="dxa"/>
                  <w:gridSpan w:val="2"/>
                  <w:tcBorders>
                    <w:top w:val="single" w:sz="4" w:space="0" w:color="auto"/>
                    <w:left w:val="nil"/>
                    <w:bottom w:val="single" w:sz="4" w:space="0" w:color="auto"/>
                    <w:right w:val="single" w:sz="4" w:space="0" w:color="auto"/>
                  </w:tcBorders>
                  <w:shd w:val="clear" w:color="000000" w:fill="D3D3D3"/>
                  <w:noWrap/>
                  <w:vAlign w:val="bottom"/>
                  <w:hideMark/>
                </w:tcPr>
                <w:p w14:paraId="5ACA3C3C"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3 Clubs</w:t>
                  </w:r>
                </w:p>
              </w:tc>
              <w:tc>
                <w:tcPr>
                  <w:tcW w:w="805" w:type="dxa"/>
                  <w:gridSpan w:val="2"/>
                  <w:tcBorders>
                    <w:top w:val="single" w:sz="4" w:space="0" w:color="auto"/>
                    <w:left w:val="nil"/>
                    <w:bottom w:val="single" w:sz="4" w:space="0" w:color="auto"/>
                    <w:right w:val="single" w:sz="4" w:space="0" w:color="auto"/>
                  </w:tcBorders>
                  <w:shd w:val="clear" w:color="000000" w:fill="D3D3D3"/>
                  <w:noWrap/>
                  <w:vAlign w:val="bottom"/>
                  <w:hideMark/>
                </w:tcPr>
                <w:p w14:paraId="1B75B76B"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4 Clubs</w:t>
                  </w:r>
                </w:p>
              </w:tc>
              <w:tc>
                <w:tcPr>
                  <w:tcW w:w="805" w:type="dxa"/>
                  <w:gridSpan w:val="2"/>
                  <w:tcBorders>
                    <w:top w:val="single" w:sz="4" w:space="0" w:color="auto"/>
                    <w:left w:val="nil"/>
                    <w:bottom w:val="single" w:sz="4" w:space="0" w:color="auto"/>
                    <w:right w:val="single" w:sz="4" w:space="0" w:color="auto"/>
                  </w:tcBorders>
                  <w:shd w:val="clear" w:color="000000" w:fill="D3D3D3"/>
                  <w:noWrap/>
                  <w:vAlign w:val="bottom"/>
                  <w:hideMark/>
                </w:tcPr>
                <w:p w14:paraId="0E0A53BF" w14:textId="77777777" w:rsidR="00062089" w:rsidRPr="00062089" w:rsidRDefault="00062089" w:rsidP="00062089">
                  <w:pPr>
                    <w:spacing w:after="0" w:line="240" w:lineRule="auto"/>
                    <w:jc w:val="center"/>
                    <w:rPr>
                      <w:rFonts w:asciiTheme="minorHAnsi" w:hAnsiTheme="minorHAnsi" w:cstheme="minorHAnsi"/>
                      <w:color w:val="000000"/>
                      <w:sz w:val="18"/>
                      <w:szCs w:val="18"/>
                    </w:rPr>
                  </w:pPr>
                  <w:r w:rsidRPr="00062089">
                    <w:rPr>
                      <w:rFonts w:asciiTheme="minorHAnsi" w:hAnsiTheme="minorHAnsi" w:cstheme="minorHAnsi"/>
                      <w:color w:val="000000"/>
                      <w:sz w:val="18"/>
                      <w:szCs w:val="18"/>
                    </w:rPr>
                    <w:t>5 Clubs</w:t>
                  </w:r>
                </w:p>
              </w:tc>
            </w:tr>
            <w:tr w:rsidR="00062089" w:rsidRPr="00E7604F" w14:paraId="600026E1" w14:textId="77777777" w:rsidTr="00062089">
              <w:trPr>
                <w:trHeight w:val="258"/>
              </w:trPr>
              <w:tc>
                <w:tcPr>
                  <w:tcW w:w="942" w:type="dxa"/>
                  <w:tcBorders>
                    <w:top w:val="nil"/>
                    <w:left w:val="single" w:sz="4" w:space="0" w:color="auto"/>
                    <w:bottom w:val="single" w:sz="4" w:space="0" w:color="auto"/>
                    <w:right w:val="single" w:sz="4" w:space="0" w:color="auto"/>
                  </w:tcBorders>
                  <w:shd w:val="clear" w:color="000000" w:fill="F2F2F2"/>
                  <w:noWrap/>
                  <w:vAlign w:val="bottom"/>
                  <w:hideMark/>
                </w:tcPr>
                <w:p w14:paraId="315C7B51" w14:textId="77777777" w:rsidR="00062089" w:rsidRPr="00062089" w:rsidRDefault="00062089" w:rsidP="00062089">
                  <w:pPr>
                    <w:spacing w:after="0" w:line="240" w:lineRule="auto"/>
                    <w:rPr>
                      <w:rFonts w:ascii="Calibri" w:hAnsi="Calibri" w:cs="Calibri"/>
                      <w:color w:val="000000"/>
                      <w:sz w:val="18"/>
                      <w:szCs w:val="18"/>
                    </w:rPr>
                  </w:pPr>
                  <w:r w:rsidRPr="00062089">
                    <w:rPr>
                      <w:rFonts w:ascii="Calibri" w:hAnsi="Calibri" w:cs="Calibri"/>
                      <w:color w:val="000000"/>
                      <w:sz w:val="18"/>
                      <w:szCs w:val="18"/>
                    </w:rPr>
                    <w:t>PP</w:t>
                  </w:r>
                </w:p>
              </w:tc>
              <w:tc>
                <w:tcPr>
                  <w:tcW w:w="881" w:type="dxa"/>
                  <w:tcBorders>
                    <w:top w:val="nil"/>
                    <w:left w:val="nil"/>
                    <w:bottom w:val="single" w:sz="4" w:space="0" w:color="auto"/>
                    <w:right w:val="single" w:sz="4" w:space="0" w:color="auto"/>
                  </w:tcBorders>
                  <w:shd w:val="clear" w:color="auto" w:fill="auto"/>
                  <w:noWrap/>
                  <w:vAlign w:val="bottom"/>
                  <w:hideMark/>
                </w:tcPr>
                <w:p w14:paraId="43F39530" w14:textId="77777777" w:rsidR="00062089" w:rsidRPr="00062089" w:rsidRDefault="00062089" w:rsidP="00062089">
                  <w:pPr>
                    <w:spacing w:after="0" w:line="240" w:lineRule="auto"/>
                    <w:jc w:val="right"/>
                    <w:rPr>
                      <w:rFonts w:ascii="Calibri" w:hAnsi="Calibri" w:cs="Calibri"/>
                      <w:color w:val="000000"/>
                      <w:sz w:val="18"/>
                      <w:szCs w:val="18"/>
                    </w:rPr>
                  </w:pPr>
                  <w:r w:rsidRPr="00062089">
                    <w:rPr>
                      <w:rFonts w:ascii="Calibri" w:hAnsi="Calibri" w:cs="Calibri"/>
                      <w:color w:val="000000"/>
                      <w:sz w:val="18"/>
                      <w:szCs w:val="18"/>
                    </w:rPr>
                    <w:t>117</w:t>
                  </w:r>
                </w:p>
              </w:tc>
              <w:tc>
                <w:tcPr>
                  <w:tcW w:w="463" w:type="dxa"/>
                  <w:tcBorders>
                    <w:top w:val="nil"/>
                    <w:left w:val="nil"/>
                    <w:bottom w:val="single" w:sz="4" w:space="0" w:color="auto"/>
                    <w:right w:val="single" w:sz="4" w:space="0" w:color="auto"/>
                  </w:tcBorders>
                  <w:shd w:val="clear" w:color="auto" w:fill="auto"/>
                  <w:noWrap/>
                  <w:vAlign w:val="bottom"/>
                  <w:hideMark/>
                </w:tcPr>
                <w:p w14:paraId="72AF2634"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56</w:t>
                  </w:r>
                </w:p>
              </w:tc>
              <w:tc>
                <w:tcPr>
                  <w:tcW w:w="751" w:type="dxa"/>
                  <w:tcBorders>
                    <w:top w:val="nil"/>
                    <w:left w:val="nil"/>
                    <w:bottom w:val="single" w:sz="4" w:space="0" w:color="auto"/>
                    <w:right w:val="single" w:sz="4" w:space="0" w:color="auto"/>
                  </w:tcBorders>
                  <w:shd w:val="clear" w:color="auto" w:fill="auto"/>
                  <w:noWrap/>
                  <w:vAlign w:val="bottom"/>
                  <w:hideMark/>
                </w:tcPr>
                <w:p w14:paraId="44599BF1"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48%</w:t>
                  </w:r>
                </w:p>
              </w:tc>
              <w:tc>
                <w:tcPr>
                  <w:tcW w:w="463" w:type="dxa"/>
                  <w:tcBorders>
                    <w:top w:val="nil"/>
                    <w:left w:val="nil"/>
                    <w:bottom w:val="single" w:sz="4" w:space="0" w:color="auto"/>
                    <w:right w:val="single" w:sz="4" w:space="0" w:color="auto"/>
                  </w:tcBorders>
                  <w:shd w:val="clear" w:color="auto" w:fill="auto"/>
                  <w:noWrap/>
                  <w:vAlign w:val="bottom"/>
                  <w:hideMark/>
                </w:tcPr>
                <w:p w14:paraId="3CC03A8D"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22</w:t>
                  </w:r>
                </w:p>
              </w:tc>
              <w:tc>
                <w:tcPr>
                  <w:tcW w:w="751" w:type="dxa"/>
                  <w:tcBorders>
                    <w:top w:val="nil"/>
                    <w:left w:val="nil"/>
                    <w:bottom w:val="single" w:sz="4" w:space="0" w:color="auto"/>
                    <w:right w:val="single" w:sz="4" w:space="0" w:color="auto"/>
                  </w:tcBorders>
                  <w:shd w:val="clear" w:color="auto" w:fill="auto"/>
                  <w:noWrap/>
                  <w:vAlign w:val="bottom"/>
                  <w:hideMark/>
                </w:tcPr>
                <w:p w14:paraId="3593106F"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19%</w:t>
                  </w:r>
                </w:p>
              </w:tc>
              <w:tc>
                <w:tcPr>
                  <w:tcW w:w="463" w:type="dxa"/>
                  <w:tcBorders>
                    <w:top w:val="nil"/>
                    <w:left w:val="nil"/>
                    <w:bottom w:val="single" w:sz="4" w:space="0" w:color="auto"/>
                    <w:right w:val="single" w:sz="4" w:space="0" w:color="auto"/>
                  </w:tcBorders>
                  <w:shd w:val="clear" w:color="auto" w:fill="auto"/>
                  <w:noWrap/>
                  <w:vAlign w:val="bottom"/>
                  <w:hideMark/>
                </w:tcPr>
                <w:p w14:paraId="65EA4AAA"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28</w:t>
                  </w:r>
                </w:p>
              </w:tc>
              <w:tc>
                <w:tcPr>
                  <w:tcW w:w="751" w:type="dxa"/>
                  <w:tcBorders>
                    <w:top w:val="nil"/>
                    <w:left w:val="nil"/>
                    <w:bottom w:val="single" w:sz="4" w:space="0" w:color="auto"/>
                    <w:right w:val="single" w:sz="4" w:space="0" w:color="auto"/>
                  </w:tcBorders>
                  <w:shd w:val="clear" w:color="auto" w:fill="auto"/>
                  <w:noWrap/>
                  <w:vAlign w:val="bottom"/>
                  <w:hideMark/>
                </w:tcPr>
                <w:p w14:paraId="683F3B84"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24%</w:t>
                  </w:r>
                </w:p>
              </w:tc>
              <w:tc>
                <w:tcPr>
                  <w:tcW w:w="259" w:type="dxa"/>
                  <w:tcBorders>
                    <w:top w:val="nil"/>
                    <w:left w:val="nil"/>
                    <w:bottom w:val="single" w:sz="4" w:space="0" w:color="auto"/>
                    <w:right w:val="single" w:sz="4" w:space="0" w:color="auto"/>
                  </w:tcBorders>
                  <w:shd w:val="clear" w:color="auto" w:fill="auto"/>
                  <w:noWrap/>
                  <w:vAlign w:val="bottom"/>
                  <w:hideMark/>
                </w:tcPr>
                <w:p w14:paraId="5CDB1609"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7</w:t>
                  </w:r>
                </w:p>
              </w:tc>
              <w:tc>
                <w:tcPr>
                  <w:tcW w:w="546" w:type="dxa"/>
                  <w:tcBorders>
                    <w:top w:val="nil"/>
                    <w:left w:val="nil"/>
                    <w:bottom w:val="single" w:sz="4" w:space="0" w:color="auto"/>
                    <w:right w:val="single" w:sz="4" w:space="0" w:color="auto"/>
                  </w:tcBorders>
                  <w:shd w:val="clear" w:color="auto" w:fill="auto"/>
                  <w:noWrap/>
                  <w:vAlign w:val="bottom"/>
                  <w:hideMark/>
                </w:tcPr>
                <w:p w14:paraId="5BE9445D"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6%</w:t>
                  </w:r>
                </w:p>
              </w:tc>
              <w:tc>
                <w:tcPr>
                  <w:tcW w:w="259" w:type="dxa"/>
                  <w:tcBorders>
                    <w:top w:val="nil"/>
                    <w:left w:val="nil"/>
                    <w:bottom w:val="single" w:sz="4" w:space="0" w:color="auto"/>
                    <w:right w:val="single" w:sz="4" w:space="0" w:color="auto"/>
                  </w:tcBorders>
                  <w:shd w:val="clear" w:color="auto" w:fill="auto"/>
                  <w:noWrap/>
                  <w:vAlign w:val="bottom"/>
                  <w:hideMark/>
                </w:tcPr>
                <w:p w14:paraId="1EF08F9C"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0</w:t>
                  </w:r>
                </w:p>
              </w:tc>
              <w:tc>
                <w:tcPr>
                  <w:tcW w:w="546" w:type="dxa"/>
                  <w:tcBorders>
                    <w:top w:val="nil"/>
                    <w:left w:val="nil"/>
                    <w:bottom w:val="single" w:sz="4" w:space="0" w:color="auto"/>
                    <w:right w:val="single" w:sz="4" w:space="0" w:color="auto"/>
                  </w:tcBorders>
                  <w:shd w:val="clear" w:color="auto" w:fill="auto"/>
                  <w:noWrap/>
                  <w:vAlign w:val="bottom"/>
                  <w:hideMark/>
                </w:tcPr>
                <w:p w14:paraId="0DC215C3"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0%</w:t>
                  </w:r>
                </w:p>
              </w:tc>
              <w:tc>
                <w:tcPr>
                  <w:tcW w:w="259" w:type="dxa"/>
                  <w:tcBorders>
                    <w:top w:val="nil"/>
                    <w:left w:val="nil"/>
                    <w:bottom w:val="single" w:sz="4" w:space="0" w:color="auto"/>
                    <w:right w:val="single" w:sz="4" w:space="0" w:color="auto"/>
                  </w:tcBorders>
                  <w:shd w:val="clear" w:color="auto" w:fill="auto"/>
                  <w:noWrap/>
                  <w:vAlign w:val="bottom"/>
                  <w:hideMark/>
                </w:tcPr>
                <w:p w14:paraId="69C99541"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w:t>
                  </w:r>
                </w:p>
              </w:tc>
              <w:tc>
                <w:tcPr>
                  <w:tcW w:w="546" w:type="dxa"/>
                  <w:tcBorders>
                    <w:top w:val="nil"/>
                    <w:left w:val="nil"/>
                    <w:bottom w:val="single" w:sz="4" w:space="0" w:color="auto"/>
                    <w:right w:val="single" w:sz="4" w:space="0" w:color="auto"/>
                  </w:tcBorders>
                  <w:shd w:val="clear" w:color="auto" w:fill="auto"/>
                  <w:noWrap/>
                  <w:vAlign w:val="bottom"/>
                  <w:hideMark/>
                </w:tcPr>
                <w:p w14:paraId="756FE063"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w:t>
                  </w:r>
                </w:p>
              </w:tc>
            </w:tr>
            <w:tr w:rsidR="00062089" w:rsidRPr="00E7604F" w14:paraId="6BD2B9A0" w14:textId="77777777" w:rsidTr="00062089">
              <w:trPr>
                <w:trHeight w:val="258"/>
              </w:trPr>
              <w:tc>
                <w:tcPr>
                  <w:tcW w:w="942" w:type="dxa"/>
                  <w:tcBorders>
                    <w:top w:val="nil"/>
                    <w:left w:val="single" w:sz="4" w:space="0" w:color="auto"/>
                    <w:bottom w:val="single" w:sz="4" w:space="0" w:color="auto"/>
                    <w:right w:val="single" w:sz="4" w:space="0" w:color="auto"/>
                  </w:tcBorders>
                  <w:shd w:val="clear" w:color="000000" w:fill="F2F2F2"/>
                  <w:noWrap/>
                  <w:vAlign w:val="bottom"/>
                  <w:hideMark/>
                </w:tcPr>
                <w:p w14:paraId="00E07BC1" w14:textId="77777777" w:rsidR="00062089" w:rsidRPr="00062089" w:rsidRDefault="00062089" w:rsidP="00062089">
                  <w:pPr>
                    <w:spacing w:after="0" w:line="240" w:lineRule="auto"/>
                    <w:rPr>
                      <w:rFonts w:ascii="Calibri" w:hAnsi="Calibri" w:cs="Calibri"/>
                      <w:color w:val="000000"/>
                      <w:sz w:val="18"/>
                      <w:szCs w:val="18"/>
                    </w:rPr>
                  </w:pPr>
                  <w:r w:rsidRPr="00062089">
                    <w:rPr>
                      <w:rFonts w:ascii="Calibri" w:hAnsi="Calibri" w:cs="Calibri"/>
                      <w:color w:val="000000"/>
                      <w:sz w:val="18"/>
                      <w:szCs w:val="18"/>
                    </w:rPr>
                    <w:t>SEND</w:t>
                  </w:r>
                </w:p>
              </w:tc>
              <w:tc>
                <w:tcPr>
                  <w:tcW w:w="881" w:type="dxa"/>
                  <w:tcBorders>
                    <w:top w:val="nil"/>
                    <w:left w:val="nil"/>
                    <w:bottom w:val="single" w:sz="4" w:space="0" w:color="auto"/>
                    <w:right w:val="single" w:sz="4" w:space="0" w:color="auto"/>
                  </w:tcBorders>
                  <w:shd w:val="clear" w:color="auto" w:fill="auto"/>
                  <w:noWrap/>
                  <w:vAlign w:val="bottom"/>
                  <w:hideMark/>
                </w:tcPr>
                <w:p w14:paraId="3EF851D0" w14:textId="77777777" w:rsidR="00062089" w:rsidRPr="00062089" w:rsidRDefault="00062089" w:rsidP="00062089">
                  <w:pPr>
                    <w:spacing w:after="0" w:line="240" w:lineRule="auto"/>
                    <w:jc w:val="right"/>
                    <w:rPr>
                      <w:rFonts w:ascii="Calibri" w:hAnsi="Calibri" w:cs="Calibri"/>
                      <w:color w:val="000000"/>
                      <w:sz w:val="18"/>
                      <w:szCs w:val="18"/>
                    </w:rPr>
                  </w:pPr>
                  <w:r w:rsidRPr="00062089">
                    <w:rPr>
                      <w:rFonts w:ascii="Calibri" w:hAnsi="Calibri" w:cs="Calibri"/>
                      <w:color w:val="000000"/>
                      <w:sz w:val="18"/>
                      <w:szCs w:val="18"/>
                    </w:rPr>
                    <w:t>75</w:t>
                  </w:r>
                </w:p>
              </w:tc>
              <w:tc>
                <w:tcPr>
                  <w:tcW w:w="463" w:type="dxa"/>
                  <w:tcBorders>
                    <w:top w:val="nil"/>
                    <w:left w:val="nil"/>
                    <w:bottom w:val="single" w:sz="4" w:space="0" w:color="auto"/>
                    <w:right w:val="single" w:sz="4" w:space="0" w:color="auto"/>
                  </w:tcBorders>
                  <w:shd w:val="clear" w:color="auto" w:fill="auto"/>
                  <w:noWrap/>
                  <w:vAlign w:val="bottom"/>
                  <w:hideMark/>
                </w:tcPr>
                <w:p w14:paraId="576762F7"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39</w:t>
                  </w:r>
                </w:p>
              </w:tc>
              <w:tc>
                <w:tcPr>
                  <w:tcW w:w="751" w:type="dxa"/>
                  <w:tcBorders>
                    <w:top w:val="nil"/>
                    <w:left w:val="nil"/>
                    <w:bottom w:val="single" w:sz="4" w:space="0" w:color="auto"/>
                    <w:right w:val="single" w:sz="4" w:space="0" w:color="auto"/>
                  </w:tcBorders>
                  <w:shd w:val="clear" w:color="auto" w:fill="auto"/>
                  <w:noWrap/>
                  <w:vAlign w:val="bottom"/>
                  <w:hideMark/>
                </w:tcPr>
                <w:p w14:paraId="344C9132"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52%</w:t>
                  </w:r>
                </w:p>
              </w:tc>
              <w:tc>
                <w:tcPr>
                  <w:tcW w:w="463" w:type="dxa"/>
                  <w:tcBorders>
                    <w:top w:val="nil"/>
                    <w:left w:val="nil"/>
                    <w:bottom w:val="single" w:sz="4" w:space="0" w:color="auto"/>
                    <w:right w:val="single" w:sz="4" w:space="0" w:color="auto"/>
                  </w:tcBorders>
                  <w:shd w:val="clear" w:color="auto" w:fill="auto"/>
                  <w:noWrap/>
                  <w:vAlign w:val="bottom"/>
                  <w:hideMark/>
                </w:tcPr>
                <w:p w14:paraId="786B017A"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19</w:t>
                  </w:r>
                </w:p>
              </w:tc>
              <w:tc>
                <w:tcPr>
                  <w:tcW w:w="751" w:type="dxa"/>
                  <w:tcBorders>
                    <w:top w:val="nil"/>
                    <w:left w:val="nil"/>
                    <w:bottom w:val="single" w:sz="4" w:space="0" w:color="auto"/>
                    <w:right w:val="single" w:sz="4" w:space="0" w:color="auto"/>
                  </w:tcBorders>
                  <w:shd w:val="clear" w:color="auto" w:fill="auto"/>
                  <w:noWrap/>
                  <w:vAlign w:val="bottom"/>
                  <w:hideMark/>
                </w:tcPr>
                <w:p w14:paraId="3C24AF1D"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25%</w:t>
                  </w:r>
                </w:p>
              </w:tc>
              <w:tc>
                <w:tcPr>
                  <w:tcW w:w="463" w:type="dxa"/>
                  <w:tcBorders>
                    <w:top w:val="nil"/>
                    <w:left w:val="nil"/>
                    <w:bottom w:val="single" w:sz="4" w:space="0" w:color="auto"/>
                    <w:right w:val="single" w:sz="4" w:space="0" w:color="auto"/>
                  </w:tcBorders>
                  <w:shd w:val="clear" w:color="auto" w:fill="auto"/>
                  <w:noWrap/>
                  <w:vAlign w:val="bottom"/>
                  <w:hideMark/>
                </w:tcPr>
                <w:p w14:paraId="665EC6DF"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9</w:t>
                  </w:r>
                </w:p>
              </w:tc>
              <w:tc>
                <w:tcPr>
                  <w:tcW w:w="751" w:type="dxa"/>
                  <w:tcBorders>
                    <w:top w:val="nil"/>
                    <w:left w:val="nil"/>
                    <w:bottom w:val="single" w:sz="4" w:space="0" w:color="auto"/>
                    <w:right w:val="single" w:sz="4" w:space="0" w:color="auto"/>
                  </w:tcBorders>
                  <w:shd w:val="clear" w:color="auto" w:fill="auto"/>
                  <w:noWrap/>
                  <w:vAlign w:val="bottom"/>
                  <w:hideMark/>
                </w:tcPr>
                <w:p w14:paraId="5D0042F5"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12%</w:t>
                  </w:r>
                </w:p>
              </w:tc>
              <w:tc>
                <w:tcPr>
                  <w:tcW w:w="259" w:type="dxa"/>
                  <w:tcBorders>
                    <w:top w:val="nil"/>
                    <w:left w:val="nil"/>
                    <w:bottom w:val="single" w:sz="4" w:space="0" w:color="auto"/>
                    <w:right w:val="single" w:sz="4" w:space="0" w:color="auto"/>
                  </w:tcBorders>
                  <w:shd w:val="clear" w:color="auto" w:fill="auto"/>
                  <w:noWrap/>
                  <w:vAlign w:val="bottom"/>
                  <w:hideMark/>
                </w:tcPr>
                <w:p w14:paraId="6E15AB0F"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0</w:t>
                  </w:r>
                </w:p>
              </w:tc>
              <w:tc>
                <w:tcPr>
                  <w:tcW w:w="546" w:type="dxa"/>
                  <w:tcBorders>
                    <w:top w:val="nil"/>
                    <w:left w:val="nil"/>
                    <w:bottom w:val="single" w:sz="4" w:space="0" w:color="auto"/>
                    <w:right w:val="single" w:sz="4" w:space="0" w:color="auto"/>
                  </w:tcBorders>
                  <w:shd w:val="clear" w:color="auto" w:fill="auto"/>
                  <w:noWrap/>
                  <w:vAlign w:val="bottom"/>
                  <w:hideMark/>
                </w:tcPr>
                <w:p w14:paraId="50505A88"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0%</w:t>
                  </w:r>
                </w:p>
              </w:tc>
              <w:tc>
                <w:tcPr>
                  <w:tcW w:w="259" w:type="dxa"/>
                  <w:tcBorders>
                    <w:top w:val="nil"/>
                    <w:left w:val="nil"/>
                    <w:bottom w:val="single" w:sz="4" w:space="0" w:color="auto"/>
                    <w:right w:val="single" w:sz="4" w:space="0" w:color="auto"/>
                  </w:tcBorders>
                  <w:shd w:val="clear" w:color="auto" w:fill="auto"/>
                  <w:noWrap/>
                  <w:vAlign w:val="bottom"/>
                  <w:hideMark/>
                </w:tcPr>
                <w:p w14:paraId="35ADE574"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2</w:t>
                  </w:r>
                </w:p>
              </w:tc>
              <w:tc>
                <w:tcPr>
                  <w:tcW w:w="546" w:type="dxa"/>
                  <w:tcBorders>
                    <w:top w:val="nil"/>
                    <w:left w:val="nil"/>
                    <w:bottom w:val="single" w:sz="4" w:space="0" w:color="auto"/>
                    <w:right w:val="single" w:sz="4" w:space="0" w:color="auto"/>
                  </w:tcBorders>
                  <w:shd w:val="clear" w:color="auto" w:fill="auto"/>
                  <w:noWrap/>
                  <w:vAlign w:val="bottom"/>
                  <w:hideMark/>
                </w:tcPr>
                <w:p w14:paraId="6B486902"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3%</w:t>
                  </w:r>
                </w:p>
              </w:tc>
              <w:tc>
                <w:tcPr>
                  <w:tcW w:w="259" w:type="dxa"/>
                  <w:tcBorders>
                    <w:top w:val="nil"/>
                    <w:left w:val="nil"/>
                    <w:bottom w:val="single" w:sz="4" w:space="0" w:color="auto"/>
                    <w:right w:val="single" w:sz="4" w:space="0" w:color="auto"/>
                  </w:tcBorders>
                  <w:shd w:val="clear" w:color="auto" w:fill="auto"/>
                  <w:noWrap/>
                  <w:vAlign w:val="bottom"/>
                  <w:hideMark/>
                </w:tcPr>
                <w:p w14:paraId="53F151B5"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w:t>
                  </w:r>
                </w:p>
              </w:tc>
              <w:tc>
                <w:tcPr>
                  <w:tcW w:w="546" w:type="dxa"/>
                  <w:tcBorders>
                    <w:top w:val="nil"/>
                    <w:left w:val="nil"/>
                    <w:bottom w:val="single" w:sz="4" w:space="0" w:color="auto"/>
                    <w:right w:val="single" w:sz="4" w:space="0" w:color="auto"/>
                  </w:tcBorders>
                  <w:shd w:val="clear" w:color="auto" w:fill="auto"/>
                  <w:noWrap/>
                  <w:vAlign w:val="bottom"/>
                  <w:hideMark/>
                </w:tcPr>
                <w:p w14:paraId="6BD880D1" w14:textId="77777777" w:rsidR="00062089" w:rsidRPr="00062089" w:rsidRDefault="00062089" w:rsidP="00062089">
                  <w:pPr>
                    <w:spacing w:after="0" w:line="240" w:lineRule="auto"/>
                    <w:jc w:val="right"/>
                    <w:rPr>
                      <w:rFonts w:asciiTheme="minorHAnsi" w:hAnsiTheme="minorHAnsi" w:cstheme="minorHAnsi"/>
                      <w:color w:val="000000"/>
                      <w:sz w:val="18"/>
                      <w:szCs w:val="18"/>
                    </w:rPr>
                  </w:pPr>
                  <w:r w:rsidRPr="00062089">
                    <w:rPr>
                      <w:rFonts w:asciiTheme="minorHAnsi" w:hAnsiTheme="minorHAnsi" w:cstheme="minorHAnsi"/>
                      <w:color w:val="000000"/>
                      <w:sz w:val="18"/>
                      <w:szCs w:val="18"/>
                    </w:rPr>
                    <w:t>1%</w:t>
                  </w:r>
                </w:p>
              </w:tc>
            </w:tr>
          </w:tbl>
          <w:p w14:paraId="1C1DEEA5" w14:textId="5DB47A8C" w:rsidR="00062089" w:rsidRDefault="00062089" w:rsidP="00062089">
            <w:pPr>
              <w:pStyle w:val="ListParagraph"/>
              <w:numPr>
                <w:ilvl w:val="0"/>
                <w:numId w:val="0"/>
              </w:numPr>
              <w:ind w:left="720"/>
              <w:rPr>
                <w:sz w:val="18"/>
                <w:szCs w:val="18"/>
              </w:rPr>
            </w:pPr>
          </w:p>
          <w:p w14:paraId="6FCE3F0C" w14:textId="77777777" w:rsidR="00062089" w:rsidRPr="00062089" w:rsidRDefault="00062089" w:rsidP="00062089">
            <w:pPr>
              <w:pStyle w:val="ListParagraph"/>
              <w:numPr>
                <w:ilvl w:val="0"/>
                <w:numId w:val="0"/>
              </w:numPr>
              <w:ind w:left="720"/>
              <w:rPr>
                <w:sz w:val="18"/>
                <w:szCs w:val="18"/>
              </w:rPr>
            </w:pPr>
          </w:p>
          <w:p w14:paraId="4018E50D" w14:textId="14757430" w:rsidR="00062089" w:rsidRPr="00540743" w:rsidRDefault="00062089" w:rsidP="00062089">
            <w:pPr>
              <w:pStyle w:val="ListParagraph"/>
              <w:numPr>
                <w:ilvl w:val="0"/>
                <w:numId w:val="15"/>
              </w:numPr>
              <w:rPr>
                <w:sz w:val="18"/>
                <w:szCs w:val="18"/>
              </w:rPr>
            </w:pPr>
            <w:r w:rsidRPr="00062089">
              <w:rPr>
                <w:sz w:val="18"/>
                <w:szCs w:val="18"/>
              </w:rPr>
              <w:lastRenderedPageBreak/>
              <w:t>When school trips resumed all PP children were given f</w:t>
            </w:r>
            <w:r>
              <w:rPr>
                <w:sz w:val="18"/>
                <w:szCs w:val="18"/>
              </w:rPr>
              <w:t xml:space="preserve">ree places and PP children will be </w:t>
            </w:r>
            <w:r w:rsidRPr="00062089">
              <w:rPr>
                <w:sz w:val="18"/>
                <w:szCs w:val="18"/>
              </w:rPr>
              <w:t>given a supplement for the year 6 residential trip in July</w:t>
            </w:r>
            <w:r>
              <w:rPr>
                <w:sz w:val="18"/>
                <w:szCs w:val="18"/>
              </w:rPr>
              <w:t xml:space="preserve"> 2022</w:t>
            </w:r>
            <w:r w:rsidRPr="00062089">
              <w:rPr>
                <w:sz w:val="18"/>
                <w:szCs w:val="18"/>
              </w:rPr>
              <w:t>.</w:t>
            </w:r>
          </w:p>
          <w:p w14:paraId="2A7D5546" w14:textId="537F6089" w:rsidR="00540743" w:rsidRPr="00540743" w:rsidRDefault="00540743">
            <w:pPr>
              <w:rPr>
                <w:b/>
                <w:u w:val="single"/>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F6E6" w14:textId="77777777" w:rsidR="004E0996" w:rsidRDefault="004E0996">
      <w:pPr>
        <w:spacing w:after="0" w:line="240" w:lineRule="auto"/>
      </w:pPr>
      <w:r>
        <w:separator/>
      </w:r>
    </w:p>
  </w:endnote>
  <w:endnote w:type="continuationSeparator" w:id="0">
    <w:p w14:paraId="67733135" w14:textId="77777777" w:rsidR="004E0996" w:rsidRDefault="004E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46E49E8" w:rsidR="005E28A4" w:rsidRDefault="009D71E8">
    <w:pPr>
      <w:pStyle w:val="Footer"/>
      <w:ind w:firstLine="4513"/>
    </w:pPr>
    <w:r>
      <w:fldChar w:fldCharType="begin"/>
    </w:r>
    <w:r>
      <w:instrText xml:space="preserve"> PAGE </w:instrText>
    </w:r>
    <w:r>
      <w:fldChar w:fldCharType="separate"/>
    </w:r>
    <w:r w:rsidR="00754B8A">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E39D" w14:textId="77777777" w:rsidR="004E0996" w:rsidRDefault="004E0996">
      <w:pPr>
        <w:spacing w:after="0" w:line="240" w:lineRule="auto"/>
      </w:pPr>
      <w:r>
        <w:separator/>
      </w:r>
    </w:p>
  </w:footnote>
  <w:footnote w:type="continuationSeparator" w:id="0">
    <w:p w14:paraId="3CCCC4B4" w14:textId="77777777" w:rsidR="004E0996" w:rsidRDefault="004E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E09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076EA7"/>
    <w:multiLevelType w:val="hybridMultilevel"/>
    <w:tmpl w:val="A246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A42FB"/>
    <w:multiLevelType w:val="hybridMultilevel"/>
    <w:tmpl w:val="D4FA2D5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8"/>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406B"/>
    <w:rsid w:val="00062089"/>
    <w:rsid w:val="00066B73"/>
    <w:rsid w:val="00066F1B"/>
    <w:rsid w:val="00071A7F"/>
    <w:rsid w:val="000924EA"/>
    <w:rsid w:val="00120AB1"/>
    <w:rsid w:val="00190E87"/>
    <w:rsid w:val="001B7886"/>
    <w:rsid w:val="001E2D4E"/>
    <w:rsid w:val="00225737"/>
    <w:rsid w:val="00270B70"/>
    <w:rsid w:val="002C493F"/>
    <w:rsid w:val="002C676F"/>
    <w:rsid w:val="00341378"/>
    <w:rsid w:val="00376281"/>
    <w:rsid w:val="00390771"/>
    <w:rsid w:val="003D2D39"/>
    <w:rsid w:val="003F04AB"/>
    <w:rsid w:val="004044AA"/>
    <w:rsid w:val="00451B50"/>
    <w:rsid w:val="00463BF5"/>
    <w:rsid w:val="00483A3F"/>
    <w:rsid w:val="004C6BB4"/>
    <w:rsid w:val="004D1CB1"/>
    <w:rsid w:val="004E0996"/>
    <w:rsid w:val="004F1299"/>
    <w:rsid w:val="004F4A22"/>
    <w:rsid w:val="00522DE8"/>
    <w:rsid w:val="00540743"/>
    <w:rsid w:val="00543E09"/>
    <w:rsid w:val="00576F68"/>
    <w:rsid w:val="00583581"/>
    <w:rsid w:val="005B3321"/>
    <w:rsid w:val="005F7353"/>
    <w:rsid w:val="006E7FB1"/>
    <w:rsid w:val="00741B9E"/>
    <w:rsid w:val="00754B8A"/>
    <w:rsid w:val="007C2F04"/>
    <w:rsid w:val="007C65D6"/>
    <w:rsid w:val="00810CB4"/>
    <w:rsid w:val="00850006"/>
    <w:rsid w:val="00854825"/>
    <w:rsid w:val="009C18F9"/>
    <w:rsid w:val="009C6C85"/>
    <w:rsid w:val="009D71E8"/>
    <w:rsid w:val="00A5594A"/>
    <w:rsid w:val="00A94EB3"/>
    <w:rsid w:val="00B733A0"/>
    <w:rsid w:val="00BC66CD"/>
    <w:rsid w:val="00C1086E"/>
    <w:rsid w:val="00C11A8B"/>
    <w:rsid w:val="00C47CB3"/>
    <w:rsid w:val="00C54501"/>
    <w:rsid w:val="00C90664"/>
    <w:rsid w:val="00CA3BEB"/>
    <w:rsid w:val="00CC6303"/>
    <w:rsid w:val="00D33FE5"/>
    <w:rsid w:val="00DB0AD0"/>
    <w:rsid w:val="00DB5B15"/>
    <w:rsid w:val="00DC1DAE"/>
    <w:rsid w:val="00DC5EAC"/>
    <w:rsid w:val="00DE0408"/>
    <w:rsid w:val="00DF1DA5"/>
    <w:rsid w:val="00E17867"/>
    <w:rsid w:val="00E202AD"/>
    <w:rsid w:val="00E41C68"/>
    <w:rsid w:val="00E65295"/>
    <w:rsid w:val="00E66558"/>
    <w:rsid w:val="00E669AD"/>
    <w:rsid w:val="00EA44AF"/>
    <w:rsid w:val="00F27E26"/>
    <w:rsid w:val="00FA0E2D"/>
    <w:rsid w:val="00FF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83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7463C834</Template>
  <TotalTime>6421</TotalTime>
  <Pages>10</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Sandeep Sanghera</cp:lastModifiedBy>
  <cp:revision>34</cp:revision>
  <cp:lastPrinted>2021-12-02T13:01:00Z</cp:lastPrinted>
  <dcterms:created xsi:type="dcterms:W3CDTF">2021-09-28T10:59:00Z</dcterms:created>
  <dcterms:modified xsi:type="dcterms:W3CDTF">2021-12-07T11:16:00Z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